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64B9B9" w14:textId="2E12BAA1" w:rsidR="00E15CAC" w:rsidRPr="009E6D9B" w:rsidRDefault="00F852F2" w:rsidP="00310E6F">
      <w:pPr>
        <w:pStyle w:val="NoSpacing"/>
        <w:ind w:left="990" w:right="777"/>
        <w:jc w:val="both"/>
        <w:rPr>
          <w:lang w:val="fr-FR"/>
        </w:rPr>
      </w:pPr>
      <w:r w:rsidRPr="009E6D9B">
        <w:rPr>
          <w:lang w:val="fr"/>
        </w:rPr>
        <w:t>La Réunion sur la gestion des risques liés aux urgences sanitaires dans le Pacifique a rassemblé, à Nadi (Fidji), du 18 au 21</w:t>
      </w:r>
      <w:r w:rsidR="00E01ED6" w:rsidRPr="009E6D9B">
        <w:rPr>
          <w:lang w:val="fr"/>
        </w:rPr>
        <w:t> </w:t>
      </w:r>
      <w:r w:rsidR="00E0587E" w:rsidRPr="009E6D9B">
        <w:rPr>
          <w:lang w:val="fr"/>
        </w:rPr>
        <w:t>septembre </w:t>
      </w:r>
      <w:r w:rsidRPr="009E6D9B">
        <w:rPr>
          <w:lang w:val="fr"/>
        </w:rPr>
        <w:t>2018, les ministères de la Santé du Pacifique, les bureaux nationaux de gestion des catastrophes et les principaux partenaires régionaux pour</w:t>
      </w:r>
      <w:r w:rsidR="00E01ED6" w:rsidRPr="009E6D9B">
        <w:rPr>
          <w:lang w:val="fr"/>
        </w:rPr>
        <w:t> </w:t>
      </w:r>
      <w:r w:rsidRPr="009E6D9B">
        <w:rPr>
          <w:lang w:val="fr"/>
        </w:rPr>
        <w:t xml:space="preserve">: examiner les progrès accomplis, identifier les possibilités et s’attaquer aux défis et aux obstacles à la </w:t>
      </w:r>
      <w:r w:rsidR="00B17F22" w:rsidRPr="009E6D9B">
        <w:rPr>
          <w:lang w:val="fr"/>
        </w:rPr>
        <w:t>mise en œuvre</w:t>
      </w:r>
      <w:r w:rsidRPr="009E6D9B">
        <w:rPr>
          <w:lang w:val="fr"/>
        </w:rPr>
        <w:t xml:space="preserve"> des cadres existants et futurs de gestion des risques liés </w:t>
      </w:r>
      <w:r w:rsidR="00B17F22" w:rsidRPr="009E6D9B">
        <w:rPr>
          <w:lang w:val="fr"/>
        </w:rPr>
        <w:t>aux urgences sanitaires dans le </w:t>
      </w:r>
      <w:r w:rsidRPr="009E6D9B">
        <w:rPr>
          <w:lang w:val="fr"/>
        </w:rPr>
        <w:t>Pacifique</w:t>
      </w:r>
      <w:r w:rsidR="00E01ED6" w:rsidRPr="009E6D9B">
        <w:rPr>
          <w:lang w:val="fr"/>
        </w:rPr>
        <w:t> </w:t>
      </w:r>
      <w:r w:rsidRPr="009E6D9B">
        <w:rPr>
          <w:lang w:val="fr"/>
        </w:rPr>
        <w:t>; renforcer la capacité d’élaborer et de déclencher des plans nationaux de préparation et d’intervention englobant tous les risques</w:t>
      </w:r>
      <w:r w:rsidR="00E01ED6" w:rsidRPr="009E6D9B">
        <w:rPr>
          <w:lang w:val="fr"/>
        </w:rPr>
        <w:t> </w:t>
      </w:r>
      <w:r w:rsidRPr="009E6D9B">
        <w:rPr>
          <w:lang w:val="fr"/>
        </w:rPr>
        <w:t xml:space="preserve">; et attirer l’attention sur les mécanismes internationaux et régionaux existants pour appuyer la préparation et l’intervention en cas d’urgence, dont le Réseau mondial d’alerte et d’action en cas d’épidémie (GOARN), l’Initiative des équipes médicales d’urgence, le Groupe de responsabilité sectorielle Santé et l’Initiative OMS pour la sécurité des hôpitaux et des établissements sanitaires, et promouvoir la participation à ces mécanismes. </w:t>
      </w:r>
    </w:p>
    <w:p w14:paraId="5DF686ED" w14:textId="77777777" w:rsidR="00F852F2" w:rsidRPr="00A5619A" w:rsidRDefault="00F852F2" w:rsidP="009E1795">
      <w:pPr>
        <w:pStyle w:val="NoSpacing"/>
        <w:ind w:right="104"/>
        <w:jc w:val="both"/>
        <w:rPr>
          <w:highlight w:val="yellow"/>
          <w:lang w:val="fr-FR"/>
        </w:rPr>
      </w:pPr>
    </w:p>
    <w:p w14:paraId="7064B9BA" w14:textId="77777777" w:rsidR="00AE71C8" w:rsidRPr="00A5619A" w:rsidRDefault="00E15CAC" w:rsidP="009E1795">
      <w:pPr>
        <w:pStyle w:val="NoSpacing"/>
        <w:ind w:right="104"/>
        <w:jc w:val="both"/>
        <w:rPr>
          <w:highlight w:val="yellow"/>
          <w:lang w:val="fr-FR"/>
        </w:rPr>
      </w:pPr>
      <w:r>
        <w:rPr>
          <w:noProof/>
          <w:highlight w:val="yellow"/>
        </w:rPr>
        <mc:AlternateContent>
          <mc:Choice Requires="wpg">
            <w:drawing>
              <wp:anchor distT="0" distB="0" distL="114300" distR="114300" simplePos="0" relativeHeight="251661824" behindDoc="1" locked="0" layoutInCell="1" allowOverlap="1" wp14:anchorId="7064B9EC" wp14:editId="7064B9ED">
                <wp:simplePos x="0" y="0"/>
                <wp:positionH relativeFrom="page">
                  <wp:posOffset>1667510</wp:posOffset>
                </wp:positionH>
                <wp:positionV relativeFrom="paragraph">
                  <wp:posOffset>24765</wp:posOffset>
                </wp:positionV>
                <wp:extent cx="5441315" cy="318770"/>
                <wp:effectExtent l="0" t="0" r="6985" b="0"/>
                <wp:wrapNone/>
                <wp:docPr id="50"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41315" cy="318770"/>
                          <a:chOff x="2626" y="-795"/>
                          <a:chExt cx="8569" cy="502"/>
                        </a:xfrm>
                      </wpg:grpSpPr>
                      <wpg:grpSp>
                        <wpg:cNvPr id="51" name="Group 20"/>
                        <wpg:cNvGrpSpPr>
                          <a:grpSpLocks/>
                        </wpg:cNvGrpSpPr>
                        <wpg:grpSpPr bwMode="auto">
                          <a:xfrm>
                            <a:off x="2636" y="-785"/>
                            <a:ext cx="8549" cy="2"/>
                            <a:chOff x="2636" y="-785"/>
                            <a:chExt cx="8549" cy="2"/>
                          </a:xfrm>
                        </wpg:grpSpPr>
                        <wps:wsp>
                          <wps:cNvPr id="52" name="Freeform 21"/>
                          <wps:cNvSpPr>
                            <a:spLocks/>
                          </wps:cNvSpPr>
                          <wps:spPr bwMode="auto">
                            <a:xfrm>
                              <a:off x="2636" y="-785"/>
                              <a:ext cx="8549" cy="2"/>
                            </a:xfrm>
                            <a:custGeom>
                              <a:avLst/>
                              <a:gdLst>
                                <a:gd name="T0" fmla="+- 0 11186 2636"/>
                                <a:gd name="T1" fmla="*/ T0 w 8549"/>
                                <a:gd name="T2" fmla="+- 0 2636 2636"/>
                                <a:gd name="T3" fmla="*/ T2 w 8549"/>
                              </a:gdLst>
                              <a:ahLst/>
                              <a:cxnLst>
                                <a:cxn ang="0">
                                  <a:pos x="T1" y="0"/>
                                </a:cxn>
                                <a:cxn ang="0">
                                  <a:pos x="T3" y="0"/>
                                </a:cxn>
                              </a:cxnLst>
                              <a:rect l="0" t="0" r="r" b="b"/>
                              <a:pathLst>
                                <a:path w="8549">
                                  <a:moveTo>
                                    <a:pt x="8550" y="0"/>
                                  </a:moveTo>
                                  <a:lnTo>
                                    <a:pt x="0" y="0"/>
                                  </a:lnTo>
                                </a:path>
                              </a:pathLst>
                            </a:custGeom>
                            <a:noFill/>
                            <a:ln w="12700">
                              <a:solidFill>
                                <a:srgbClr val="8EA9C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 name="Group 18"/>
                        <wpg:cNvGrpSpPr>
                          <a:grpSpLocks/>
                        </wpg:cNvGrpSpPr>
                        <wpg:grpSpPr bwMode="auto">
                          <a:xfrm>
                            <a:off x="2636" y="-775"/>
                            <a:ext cx="1828" cy="472"/>
                            <a:chOff x="2636" y="-775"/>
                            <a:chExt cx="1828" cy="472"/>
                          </a:xfrm>
                        </wpg:grpSpPr>
                        <wps:wsp>
                          <wps:cNvPr id="54" name="Freeform 19"/>
                          <wps:cNvSpPr>
                            <a:spLocks/>
                          </wps:cNvSpPr>
                          <wps:spPr bwMode="auto">
                            <a:xfrm>
                              <a:off x="2636" y="-775"/>
                              <a:ext cx="1828" cy="472"/>
                            </a:xfrm>
                            <a:custGeom>
                              <a:avLst/>
                              <a:gdLst>
                                <a:gd name="T0" fmla="+- 0 2636 2636"/>
                                <a:gd name="T1" fmla="*/ T0 w 1828"/>
                                <a:gd name="T2" fmla="+- 0 -303 -775"/>
                                <a:gd name="T3" fmla="*/ -303 h 472"/>
                                <a:gd name="T4" fmla="+- 0 4465 2636"/>
                                <a:gd name="T5" fmla="*/ T4 w 1828"/>
                                <a:gd name="T6" fmla="+- 0 -303 -775"/>
                                <a:gd name="T7" fmla="*/ -303 h 472"/>
                                <a:gd name="T8" fmla="+- 0 4465 2636"/>
                                <a:gd name="T9" fmla="*/ T8 w 1828"/>
                                <a:gd name="T10" fmla="+- 0 -775 -775"/>
                                <a:gd name="T11" fmla="*/ -775 h 472"/>
                                <a:gd name="T12" fmla="+- 0 2636 2636"/>
                                <a:gd name="T13" fmla="*/ T12 w 1828"/>
                                <a:gd name="T14" fmla="+- 0 -775 -775"/>
                                <a:gd name="T15" fmla="*/ -775 h 472"/>
                                <a:gd name="T16" fmla="+- 0 2636 2636"/>
                                <a:gd name="T17" fmla="*/ T16 w 1828"/>
                                <a:gd name="T18" fmla="+- 0 -303 -775"/>
                                <a:gd name="T19" fmla="*/ -303 h 472"/>
                              </a:gdLst>
                              <a:ahLst/>
                              <a:cxnLst>
                                <a:cxn ang="0">
                                  <a:pos x="T1" y="T3"/>
                                </a:cxn>
                                <a:cxn ang="0">
                                  <a:pos x="T5" y="T7"/>
                                </a:cxn>
                                <a:cxn ang="0">
                                  <a:pos x="T9" y="T11"/>
                                </a:cxn>
                                <a:cxn ang="0">
                                  <a:pos x="T13" y="T15"/>
                                </a:cxn>
                                <a:cxn ang="0">
                                  <a:pos x="T17" y="T19"/>
                                </a:cxn>
                              </a:cxnLst>
                              <a:rect l="0" t="0" r="r" b="b"/>
                              <a:pathLst>
                                <a:path w="1828" h="472">
                                  <a:moveTo>
                                    <a:pt x="0" y="472"/>
                                  </a:moveTo>
                                  <a:lnTo>
                                    <a:pt x="1829" y="472"/>
                                  </a:lnTo>
                                  <a:lnTo>
                                    <a:pt x="1829" y="0"/>
                                  </a:lnTo>
                                  <a:lnTo>
                                    <a:pt x="0" y="0"/>
                                  </a:lnTo>
                                  <a:lnTo>
                                    <a:pt x="0" y="472"/>
                                  </a:lnTo>
                                </a:path>
                              </a:pathLst>
                            </a:custGeom>
                            <a:solidFill>
                              <a:srgbClr val="1E7FB8"/>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064BA24" w14:textId="77777777" w:rsidR="00E15CAC" w:rsidRPr="00E15CAC" w:rsidRDefault="00E15CAC" w:rsidP="009F1AB8">
                                <w:pPr>
                                  <w:pStyle w:val="Heading1"/>
                                  <w:spacing w:after="400"/>
                                </w:pPr>
                                <w:r>
                                  <w:rPr>
                                    <w:b/>
                                    <w:bCs/>
                                    <w:lang w:val="fr"/>
                                  </w:rPr>
                                  <w:t>Objectifs</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7" o:spid="_x0000_s1026" style="position:absolute;left:0;text-align:left;margin-left:131.3pt;margin-top:1.95pt;width:428.45pt;height:25.1pt;z-index:-251654656;mso-position-horizontal-relative:page" coordorigin="2626,-795" coordsize="8569,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">
                <v:group id="Group 20" o:spid="_x0000_s1027" style="position:absolute;left:2636;top:-785;width:8549;height:2" coordorigin="2636,-785" coordsize="85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Freeform 21" o:spid="_x0000_s1028" style="position:absolute;left:2636;top:-785;width:8549;height:2;visibility:visible;mso-wrap-style:square;v-text-anchor:top" coordsize="85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qrK8IA&#10;AADbAAAADwAAAGRycy9kb3ducmV2LnhtbESPzWoCQRCE74LvMLSQm87GoMjGUUQT0aM/mGuz0+4u&#10;2e5ZZia6eXtHCORYVNVX1HzZcaNu5EPtxMDrKANFUjhbS2ngfPoczkCFiGKxcUIGfinActHvzTG3&#10;7i4Huh1jqRJEQo4GqhjbXOtQVMQYRq4lSd7VecaYpC+19XhPcG70OMummrGWtFBhS+uKiu/jDxv4&#10;4O1+i/XuullF9hl3b5dCvox5GXSrd1CRuvgf/mvvrIHJGJ5f0g/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eqsrwgAAANsAAAAPAAAAAAAAAAAAAAAAAJgCAABkcnMvZG93&#10;bnJldi54bWxQSwUGAAAAAAQABAD1AAAAhwMAAAAA&#10;" path="m8550,l,e" filled="f" strokecolor="#8ea9c1" strokeweight="1pt">
                    <v:path arrowok="t" o:connecttype="custom" o:connectlocs="8550,0;0,0" o:connectangles="0,0"/>
                  </v:shape>
                </v:group>
                <v:group id="Group 18" o:spid="_x0000_s1029" style="position:absolute;left:2636;top:-775;width:1828;height:472" coordorigin="2636,-775" coordsize="1828,4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Freeform 19" o:spid="_x0000_s1030" style="position:absolute;left:2636;top:-775;width:1828;height:472;visibility:visible;mso-wrap-style:square;v-text-anchor:top" coordsize="1828,4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3+CcUA&#10;AADbAAAADwAAAGRycy9kb3ducmV2LnhtbESPX0vDQBDE3wt+h2MFX0p7Uaq0sdciguJTwVr6523J&#10;rUno3V7IrUn89j1B6OMwM79hluvBO9VRG+vABu6nGSjiItiaSwO7r7fJHFQUZIsuMBn4pQjr1c1o&#10;ibkNPX9St5VSJQjHHA1UIk2udSwq8hinoSFO3ndoPUqSbalti32Ce6cfsuxJe6w5LVTY0GtFxXn7&#10;4w0cx7PD/LyQ/rDZv59q15WiXW/M3e3w8gxKaJBr+L/9YQ08zuDvS/oBenU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f4JxQAAANsAAAAPAAAAAAAAAAAAAAAAAJgCAABkcnMv&#10;ZG93bnJldi54bWxQSwUGAAAAAAQABAD1AAAAigMAAAAA&#10;" adj="-11796480,,5400" path="m,472r1829,l1829,,,,,472e" fillcolor="#1e7fb8" stroked="f">
                    <v:stroke joinstyle="round"/>
                    <v:formulas/>
                    <v:path arrowok="t" o:connecttype="custom" o:connectlocs="0,-303;1829,-303;1829,-775;0,-775;0,-303" o:connectangles="0,0,0,0,0" textboxrect="0,0,1828,472"/>
                    <v:textbox>
                      <w:txbxContent>
                        <w:p w14:paraId="7064BA24" w14:textId="77777777" w:rsidR="00E15CAC" w:rsidRPr="00E15CAC" w:rsidRDefault="00E15CAC" w:rsidP="009F1AB8">
                          <w:pPr>
                            <w:pStyle w:val="Heading1"/>
                            <w:spacing w:after="400"/>
                          </w:pPr>
                          <w:r>
                            <w:rPr>
                              <w:b/>
                              <w:bCs/>
                              <w:lang w:val="fr"/>
                            </w:rPr>
                            <w:t>Objectifs</w:t>
                          </w:r>
                        </w:p>
                      </w:txbxContent>
                    </v:textbox>
                  </v:shape>
                </v:group>
                <w10:wrap anchorx="page"/>
              </v:group>
            </w:pict>
          </mc:Fallback>
        </mc:AlternateContent>
      </w:r>
    </w:p>
    <w:p w14:paraId="7064B9BB" w14:textId="77777777" w:rsidR="00E15CAC" w:rsidRPr="00A5619A" w:rsidRDefault="00E15CAC" w:rsidP="009E1795">
      <w:pPr>
        <w:pStyle w:val="NoSpacing"/>
        <w:ind w:right="104"/>
        <w:jc w:val="both"/>
        <w:rPr>
          <w:highlight w:val="yellow"/>
          <w:lang w:val="fr-FR"/>
        </w:rPr>
      </w:pPr>
    </w:p>
    <w:p w14:paraId="7064B9BC" w14:textId="77777777" w:rsidR="00E15CAC" w:rsidRPr="00A5619A" w:rsidRDefault="00E15CAC" w:rsidP="009E1795">
      <w:pPr>
        <w:pStyle w:val="NoSpacing"/>
        <w:ind w:right="104"/>
        <w:jc w:val="both"/>
        <w:rPr>
          <w:highlight w:val="yellow"/>
          <w:lang w:val="fr-FR"/>
        </w:rPr>
      </w:pPr>
    </w:p>
    <w:p w14:paraId="7064B9BD" w14:textId="581AE0C4" w:rsidR="00CF652A" w:rsidRPr="007125BE" w:rsidRDefault="008664CE" w:rsidP="009E1795">
      <w:pPr>
        <w:pStyle w:val="BlockText"/>
        <w:ind w:right="104"/>
        <w:rPr>
          <w:lang w:val="fr-FR"/>
        </w:rPr>
      </w:pPr>
      <w:r w:rsidRPr="007125BE">
        <w:rPr>
          <w:lang w:val="fr"/>
        </w:rPr>
        <w:t>Les objectifs de la Réunion sur la gestion des risques liés aux urgences sanitaires étaient les suivants</w:t>
      </w:r>
      <w:r w:rsidR="00E01ED6" w:rsidRPr="007125BE">
        <w:rPr>
          <w:lang w:val="fr"/>
        </w:rPr>
        <w:t> </w:t>
      </w:r>
      <w:r w:rsidRPr="007125BE">
        <w:rPr>
          <w:lang w:val="fr"/>
        </w:rPr>
        <w:t>:</w:t>
      </w:r>
    </w:p>
    <w:p w14:paraId="2BF0B1A8" w14:textId="3076420B" w:rsidR="00F852F2" w:rsidRPr="007125BE" w:rsidRDefault="00F852F2" w:rsidP="00310E6F">
      <w:pPr>
        <w:pStyle w:val="ListParagraph"/>
        <w:numPr>
          <w:ilvl w:val="0"/>
          <w:numId w:val="12"/>
        </w:numPr>
        <w:spacing w:after="120"/>
        <w:ind w:left="1714" w:right="778"/>
        <w:contextualSpacing w:val="0"/>
        <w:jc w:val="both"/>
        <w:rPr>
          <w:lang w:val="fr-FR"/>
        </w:rPr>
      </w:pPr>
      <w:r w:rsidRPr="007125BE">
        <w:rPr>
          <w:lang w:val="fr"/>
        </w:rPr>
        <w:t xml:space="preserve">partager les expériences sur le rôle du secteur de la santé dans la gestion des risques liés aux situations d’urgence et examiner les progrès, les limites, les besoins et les enseignements des pays découlant de la </w:t>
      </w:r>
      <w:r w:rsidR="00B17F22" w:rsidRPr="007125BE">
        <w:rPr>
          <w:lang w:val="fr"/>
        </w:rPr>
        <w:t>mise en œuvre</w:t>
      </w:r>
      <w:r w:rsidRPr="007125BE">
        <w:rPr>
          <w:lang w:val="fr"/>
        </w:rPr>
        <w:t xml:space="preserve"> du Cadre d’action régional du Pacifique occidental pour la gestion des risques sanitaires liés aux catastrophes (DRM-H, 2015) et des interventions menées ces dernières années pour faire face à des situations d’urgence</w:t>
      </w:r>
      <w:r w:rsidR="00E01ED6" w:rsidRPr="007125BE">
        <w:rPr>
          <w:lang w:val="fr"/>
        </w:rPr>
        <w:t> </w:t>
      </w:r>
      <w:r w:rsidRPr="007125BE">
        <w:rPr>
          <w:lang w:val="fr"/>
        </w:rPr>
        <w:t xml:space="preserve">; </w:t>
      </w:r>
    </w:p>
    <w:p w14:paraId="4BDC4748" w14:textId="6BF51E2A" w:rsidR="00F852F2" w:rsidRPr="007125BE" w:rsidRDefault="00F852F2" w:rsidP="00310E6F">
      <w:pPr>
        <w:pStyle w:val="ListParagraph"/>
        <w:numPr>
          <w:ilvl w:val="0"/>
          <w:numId w:val="12"/>
        </w:numPr>
        <w:spacing w:after="120"/>
        <w:ind w:left="1714" w:right="778"/>
        <w:contextualSpacing w:val="0"/>
        <w:jc w:val="both"/>
        <w:rPr>
          <w:lang w:val="fr-FR"/>
        </w:rPr>
      </w:pPr>
      <w:r w:rsidRPr="007125BE">
        <w:rPr>
          <w:lang w:val="fr"/>
        </w:rPr>
        <w:t>contribuer au renforcement des plans nationaux de préparation et d’intervention englobant tous les risques en faisant mieux connaître les outils et les ressources disponibles pour les interventions d’urgence et en fournissant des orientations pratiques pour l’élaboration et le renforcement des plans nationaux de gestion des risques liés aux urgences sanitaires, conformément à la Stratégie Asie-Pacifique pour la maîtrise des maladies émergentes et la gestion des urgences de santé publique (SMEAP III) et au Cadre DRM-H</w:t>
      </w:r>
      <w:r w:rsidR="00E01ED6" w:rsidRPr="007125BE">
        <w:rPr>
          <w:lang w:val="fr"/>
        </w:rPr>
        <w:t> </w:t>
      </w:r>
      <w:r w:rsidRPr="007125BE">
        <w:rPr>
          <w:lang w:val="fr"/>
        </w:rPr>
        <w:t>;</w:t>
      </w:r>
    </w:p>
    <w:p w14:paraId="090A9D1B" w14:textId="7F08CBFB" w:rsidR="00F852F2" w:rsidRPr="007125BE" w:rsidRDefault="00F852F2" w:rsidP="00310E6F">
      <w:pPr>
        <w:pStyle w:val="ListParagraph"/>
        <w:numPr>
          <w:ilvl w:val="0"/>
          <w:numId w:val="12"/>
        </w:numPr>
        <w:spacing w:after="120"/>
        <w:ind w:left="1714" w:right="778"/>
        <w:contextualSpacing w:val="0"/>
        <w:jc w:val="both"/>
        <w:rPr>
          <w:lang w:val="fr-FR"/>
        </w:rPr>
      </w:pPr>
      <w:r w:rsidRPr="007125BE">
        <w:rPr>
          <w:lang w:val="fr"/>
        </w:rPr>
        <w:t xml:space="preserve">accroître l’engagement et renforcer la coordination avec les partenaires nationaux, régionaux et mondiaux de santé publique dans les </w:t>
      </w:r>
      <w:r w:rsidR="007125BE" w:rsidRPr="007125BE">
        <w:rPr>
          <w:lang w:val="fr"/>
        </w:rPr>
        <w:t>États et Territoires insulaires du Pacifique</w:t>
      </w:r>
      <w:r w:rsidRPr="007125BE">
        <w:rPr>
          <w:lang w:val="fr"/>
        </w:rPr>
        <w:t xml:space="preserve"> pour renforcer la riposte aux événements de santé publique.</w:t>
      </w:r>
    </w:p>
    <w:p w14:paraId="502663E6" w14:textId="77777777" w:rsidR="00E01ED6" w:rsidRPr="00A5619A" w:rsidRDefault="00E01ED6" w:rsidP="009E1795">
      <w:pPr>
        <w:pStyle w:val="ListParagraph"/>
        <w:spacing w:after="60"/>
        <w:ind w:left="1713" w:right="104"/>
        <w:jc w:val="both"/>
        <w:rPr>
          <w:highlight w:val="yellow"/>
          <w:lang w:val="fr-FR"/>
        </w:rPr>
      </w:pPr>
    </w:p>
    <w:p w14:paraId="6BD35E6C" w14:textId="77777777" w:rsidR="00E01ED6" w:rsidRPr="00A5619A" w:rsidRDefault="00E01ED6" w:rsidP="009E1795">
      <w:pPr>
        <w:pStyle w:val="ListParagraph"/>
        <w:spacing w:after="60"/>
        <w:ind w:left="1713" w:right="104"/>
        <w:jc w:val="both"/>
        <w:rPr>
          <w:highlight w:val="yellow"/>
          <w:lang w:val="fr-FR"/>
        </w:rPr>
      </w:pPr>
    </w:p>
    <w:p w14:paraId="7064B9C1" w14:textId="7739CE0D" w:rsidR="00CD03AD" w:rsidRPr="00A5619A" w:rsidRDefault="009F1AB8" w:rsidP="009E1795">
      <w:pPr>
        <w:pStyle w:val="ListParagraph"/>
        <w:spacing w:after="60"/>
        <w:ind w:left="1713" w:right="104"/>
        <w:jc w:val="both"/>
        <w:rPr>
          <w:highlight w:val="yellow"/>
          <w:lang w:val="fr-FR"/>
        </w:rPr>
      </w:pPr>
      <w:r>
        <w:rPr>
          <w:noProof/>
          <w:highlight w:val="yellow"/>
        </w:rPr>
        <mc:AlternateContent>
          <mc:Choice Requires="wpg">
            <w:drawing>
              <wp:anchor distT="0" distB="0" distL="114300" distR="114300" simplePos="0" relativeHeight="251663872" behindDoc="1" locked="0" layoutInCell="1" allowOverlap="1" wp14:anchorId="7064B9EE" wp14:editId="7064B9EF">
                <wp:simplePos x="0" y="0"/>
                <wp:positionH relativeFrom="page">
                  <wp:posOffset>1667510</wp:posOffset>
                </wp:positionH>
                <wp:positionV relativeFrom="paragraph">
                  <wp:posOffset>260350</wp:posOffset>
                </wp:positionV>
                <wp:extent cx="5441315" cy="318770"/>
                <wp:effectExtent l="0" t="0" r="6985" b="0"/>
                <wp:wrapNone/>
                <wp:docPr id="60"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41315" cy="318770"/>
                          <a:chOff x="2626" y="-795"/>
                          <a:chExt cx="8569" cy="502"/>
                        </a:xfrm>
                      </wpg:grpSpPr>
                      <wpg:grpSp>
                        <wpg:cNvPr id="61" name="Group 20"/>
                        <wpg:cNvGrpSpPr>
                          <a:grpSpLocks/>
                        </wpg:cNvGrpSpPr>
                        <wpg:grpSpPr bwMode="auto">
                          <a:xfrm>
                            <a:off x="2636" y="-785"/>
                            <a:ext cx="8549" cy="2"/>
                            <a:chOff x="2636" y="-785"/>
                            <a:chExt cx="8549" cy="2"/>
                          </a:xfrm>
                        </wpg:grpSpPr>
                        <wps:wsp>
                          <wps:cNvPr id="62" name="Freeform 21"/>
                          <wps:cNvSpPr>
                            <a:spLocks/>
                          </wps:cNvSpPr>
                          <wps:spPr bwMode="auto">
                            <a:xfrm>
                              <a:off x="2636" y="-785"/>
                              <a:ext cx="8549" cy="2"/>
                            </a:xfrm>
                            <a:custGeom>
                              <a:avLst/>
                              <a:gdLst>
                                <a:gd name="T0" fmla="+- 0 11186 2636"/>
                                <a:gd name="T1" fmla="*/ T0 w 8549"/>
                                <a:gd name="T2" fmla="+- 0 2636 2636"/>
                                <a:gd name="T3" fmla="*/ T2 w 8549"/>
                              </a:gdLst>
                              <a:ahLst/>
                              <a:cxnLst>
                                <a:cxn ang="0">
                                  <a:pos x="T1" y="0"/>
                                </a:cxn>
                                <a:cxn ang="0">
                                  <a:pos x="T3" y="0"/>
                                </a:cxn>
                              </a:cxnLst>
                              <a:rect l="0" t="0" r="r" b="b"/>
                              <a:pathLst>
                                <a:path w="8549">
                                  <a:moveTo>
                                    <a:pt x="8550" y="0"/>
                                  </a:moveTo>
                                  <a:lnTo>
                                    <a:pt x="0" y="0"/>
                                  </a:lnTo>
                                </a:path>
                              </a:pathLst>
                            </a:custGeom>
                            <a:noFill/>
                            <a:ln w="12700">
                              <a:solidFill>
                                <a:srgbClr val="8EA9C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3" name="Group 18"/>
                        <wpg:cNvGrpSpPr>
                          <a:grpSpLocks/>
                        </wpg:cNvGrpSpPr>
                        <wpg:grpSpPr bwMode="auto">
                          <a:xfrm>
                            <a:off x="2636" y="-775"/>
                            <a:ext cx="1828" cy="472"/>
                            <a:chOff x="2636" y="-775"/>
                            <a:chExt cx="1828" cy="472"/>
                          </a:xfrm>
                        </wpg:grpSpPr>
                        <wps:wsp>
                          <wps:cNvPr id="64" name="Freeform 19"/>
                          <wps:cNvSpPr>
                            <a:spLocks/>
                          </wps:cNvSpPr>
                          <wps:spPr bwMode="auto">
                            <a:xfrm>
                              <a:off x="2636" y="-775"/>
                              <a:ext cx="1828" cy="472"/>
                            </a:xfrm>
                            <a:custGeom>
                              <a:avLst/>
                              <a:gdLst>
                                <a:gd name="T0" fmla="+- 0 2636 2636"/>
                                <a:gd name="T1" fmla="*/ T0 w 1828"/>
                                <a:gd name="T2" fmla="+- 0 -303 -775"/>
                                <a:gd name="T3" fmla="*/ -303 h 472"/>
                                <a:gd name="T4" fmla="+- 0 4465 2636"/>
                                <a:gd name="T5" fmla="*/ T4 w 1828"/>
                                <a:gd name="T6" fmla="+- 0 -303 -775"/>
                                <a:gd name="T7" fmla="*/ -303 h 472"/>
                                <a:gd name="T8" fmla="+- 0 4465 2636"/>
                                <a:gd name="T9" fmla="*/ T8 w 1828"/>
                                <a:gd name="T10" fmla="+- 0 -775 -775"/>
                                <a:gd name="T11" fmla="*/ -775 h 472"/>
                                <a:gd name="T12" fmla="+- 0 2636 2636"/>
                                <a:gd name="T13" fmla="*/ T12 w 1828"/>
                                <a:gd name="T14" fmla="+- 0 -775 -775"/>
                                <a:gd name="T15" fmla="*/ -775 h 472"/>
                                <a:gd name="T16" fmla="+- 0 2636 2636"/>
                                <a:gd name="T17" fmla="*/ T16 w 1828"/>
                                <a:gd name="T18" fmla="+- 0 -303 -775"/>
                                <a:gd name="T19" fmla="*/ -303 h 472"/>
                              </a:gdLst>
                              <a:ahLst/>
                              <a:cxnLst>
                                <a:cxn ang="0">
                                  <a:pos x="T1" y="T3"/>
                                </a:cxn>
                                <a:cxn ang="0">
                                  <a:pos x="T5" y="T7"/>
                                </a:cxn>
                                <a:cxn ang="0">
                                  <a:pos x="T9" y="T11"/>
                                </a:cxn>
                                <a:cxn ang="0">
                                  <a:pos x="T13" y="T15"/>
                                </a:cxn>
                                <a:cxn ang="0">
                                  <a:pos x="T17" y="T19"/>
                                </a:cxn>
                              </a:cxnLst>
                              <a:rect l="0" t="0" r="r" b="b"/>
                              <a:pathLst>
                                <a:path w="1828" h="472">
                                  <a:moveTo>
                                    <a:pt x="0" y="472"/>
                                  </a:moveTo>
                                  <a:lnTo>
                                    <a:pt x="1829" y="472"/>
                                  </a:lnTo>
                                  <a:lnTo>
                                    <a:pt x="1829" y="0"/>
                                  </a:lnTo>
                                  <a:lnTo>
                                    <a:pt x="0" y="0"/>
                                  </a:lnTo>
                                  <a:lnTo>
                                    <a:pt x="0" y="472"/>
                                  </a:lnTo>
                                </a:path>
                              </a:pathLst>
                            </a:custGeom>
                            <a:solidFill>
                              <a:srgbClr val="1E7FB8"/>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064BA25" w14:textId="77777777" w:rsidR="009F1AB8" w:rsidRPr="00E15CAC" w:rsidRDefault="009F1AB8" w:rsidP="009F1AB8">
                                <w:pPr>
                                  <w:pStyle w:val="Heading1"/>
                                  <w:spacing w:after="800"/>
                                </w:pPr>
                                <w:r>
                                  <w:rPr>
                                    <w:b/>
                                    <w:bCs/>
                                    <w:lang w:val="fr"/>
                                  </w:rPr>
                                  <w:t>Conclusions</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_x0000_s1031" style="position:absolute;left:0;text-align:left;margin-left:131.3pt;margin-top:20.5pt;width:428.45pt;height:25.1pt;z-index:-251652608;mso-position-horizontal-relative:page" coordorigin="2626,-795" coordsize="8569,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">
                <v:group id="Group 20" o:spid="_x0000_s1032" style="position:absolute;left:2636;top:-785;width:8549;height:2" coordorigin="2636,-785" coordsize="85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shape id="Freeform 21" o:spid="_x0000_s1033" style="position:absolute;left:2636;top:-785;width:8549;height:2;visibility:visible;mso-wrap-style:square;v-text-anchor:top" coordsize="85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ZhlsIA&#10;AADbAAAADwAAAGRycy9kb3ducmV2LnhtbESPX2vCQBDE3wW/w7FC3/RSCyKplyD1D/axtujrkluT&#10;0OxeuDs1/fa9QsHHYWZ+w6zKgTt1Ix9aJwaeZxkoksrZVmoDX5+76RJUiCgWOydk4IcClMV4tMLc&#10;urt80O0Ya5UgEnI00MTY51qHqiHGMHM9SfIuzjPGJH2trcd7gnOn51m20IytpIUGe3prqPo+XtnA&#10;lvfve2wPl806ss94eDlVcjbmaTKsX0FFGuIj/N8+WAOLOfx9ST9A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FmGWwgAAANsAAAAPAAAAAAAAAAAAAAAAAJgCAABkcnMvZG93&#10;bnJldi54bWxQSwUGAAAAAAQABAD1AAAAhwMAAAAA&#10;" path="m8550,l,e" filled="f" strokecolor="#8ea9c1" strokeweight="1pt">
                    <v:path arrowok="t" o:connecttype="custom" o:connectlocs="8550,0;0,0" o:connectangles="0,0"/>
                  </v:shape>
                </v:group>
                <v:group id="Group 18" o:spid="_x0000_s1034" style="position:absolute;left:2636;top:-775;width:1828;height:472" coordorigin="2636,-775" coordsize="1828,4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Freeform 19" o:spid="_x0000_s1035" style="position:absolute;left:2636;top:-775;width:1828;height:472;visibility:visible;mso-wrap-style:square;v-text-anchor:top" coordsize="1828,4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E0tMUA&#10;AADbAAAADwAAAGRycy9kb3ducmV2LnhtbESPQUvDQBSE7wX/w/IEL8VulFJi7LaIoHgq2Iptb4/s&#10;MwndfRuyzyT++65Q6HGYmW+Y5Xr0TvXUxSawgYdZBoq4DLbhysDX7u0+BxUF2aILTAb+KMJ6dTNZ&#10;YmHDwJ/Ub6VSCcKxQAO1SFtoHcuaPMZZaImT9xM6j5JkV2nb4ZDg3unHLFtojw2nhRpbeq2pPG1/&#10;vYHDdL7PT08y7Dff78fG9ZVoNxhzdzu+PIMSGuUavrQ/rIHFHP6/pB+gV2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kTS0xQAAANsAAAAPAAAAAAAAAAAAAAAAAJgCAABkcnMv&#10;ZG93bnJldi54bWxQSwUGAAAAAAQABAD1AAAAigMAAAAA&#10;" adj="-11796480,,5400" path="m,472r1829,l1829,,,,,472e" fillcolor="#1e7fb8" stroked="f">
                    <v:stroke joinstyle="round"/>
                    <v:formulas/>
                    <v:path arrowok="t" o:connecttype="custom" o:connectlocs="0,-303;1829,-303;1829,-775;0,-775;0,-303" o:connectangles="0,0,0,0,0" textboxrect="0,0,1828,472"/>
                    <v:textbox>
                      <w:txbxContent>
                        <w:p w14:paraId="7064BA25" w14:textId="77777777" w:rsidR="009F1AB8" w:rsidRPr="00E15CAC" w:rsidRDefault="009F1AB8" w:rsidP="009F1AB8">
                          <w:pPr>
                            <w:pStyle w:val="Heading1"/>
                            <w:spacing w:after="800"/>
                          </w:pPr>
                          <w:r>
                            <w:rPr>
                              <w:b/>
                              <w:bCs/>
                              <w:lang w:val="fr"/>
                            </w:rPr>
                            <w:t>Conclusions</w:t>
                          </w:r>
                        </w:p>
                      </w:txbxContent>
                    </v:textbox>
                  </v:shape>
                </v:group>
                <w10:wrap anchorx="page"/>
              </v:group>
            </w:pict>
          </mc:Fallback>
        </mc:AlternateContent>
      </w:r>
    </w:p>
    <w:p w14:paraId="7064B9C2" w14:textId="77777777" w:rsidR="00CF652A" w:rsidRPr="00A5619A" w:rsidRDefault="00CF652A" w:rsidP="009E1795">
      <w:pPr>
        <w:spacing w:after="0" w:line="200" w:lineRule="exact"/>
        <w:ind w:right="104"/>
        <w:jc w:val="both"/>
        <w:rPr>
          <w:highlight w:val="yellow"/>
          <w:lang w:val="fr-FR"/>
        </w:rPr>
      </w:pPr>
    </w:p>
    <w:p w14:paraId="7064B9C4" w14:textId="77777777" w:rsidR="00CF652A" w:rsidRPr="00A5619A" w:rsidRDefault="00CF652A" w:rsidP="009E1795">
      <w:pPr>
        <w:spacing w:after="0" w:line="200" w:lineRule="exact"/>
        <w:ind w:right="104"/>
        <w:jc w:val="both"/>
        <w:rPr>
          <w:highlight w:val="yellow"/>
          <w:lang w:val="fr-FR"/>
        </w:rPr>
      </w:pPr>
    </w:p>
    <w:p w14:paraId="26067C52" w14:textId="77777777" w:rsidR="008749B6" w:rsidRPr="00A5619A" w:rsidRDefault="008749B6" w:rsidP="009E1795">
      <w:pPr>
        <w:spacing w:after="60"/>
        <w:ind w:right="104"/>
        <w:jc w:val="both"/>
        <w:rPr>
          <w:highlight w:val="yellow"/>
          <w:lang w:val="fr-FR"/>
        </w:rPr>
      </w:pPr>
    </w:p>
    <w:p w14:paraId="797FF7A2" w14:textId="6DE57643" w:rsidR="00B51A45" w:rsidRPr="00B34CF9" w:rsidRDefault="00B51A45" w:rsidP="00310E6F">
      <w:pPr>
        <w:pStyle w:val="ListParagraph"/>
        <w:numPr>
          <w:ilvl w:val="0"/>
          <w:numId w:val="12"/>
        </w:numPr>
        <w:tabs>
          <w:tab w:val="left" w:pos="8460"/>
        </w:tabs>
        <w:spacing w:after="120"/>
        <w:ind w:left="1714" w:right="778"/>
        <w:contextualSpacing w:val="0"/>
        <w:jc w:val="both"/>
        <w:rPr>
          <w:lang w:val="fr-FR"/>
        </w:rPr>
      </w:pPr>
      <w:r w:rsidRPr="00B34CF9">
        <w:rPr>
          <w:lang w:val="fr"/>
        </w:rPr>
        <w:t>Le Cadre d’action DRM-H du Pacifique occidental, conformément au Cadre de Sendai pour la réduction des risques de catastrophe, au Règlement sanitaire international (2005) (RSI, 2005) et à la SMEAP</w:t>
      </w:r>
      <w:r w:rsidR="00E01ED6" w:rsidRPr="00B34CF9">
        <w:rPr>
          <w:lang w:val="fr"/>
        </w:rPr>
        <w:t> </w:t>
      </w:r>
      <w:r w:rsidRPr="00B34CF9">
        <w:rPr>
          <w:lang w:val="fr"/>
        </w:rPr>
        <w:t>III, fournit des orientations claires sur les capacités nationales de prévention, de préparation, d’intervention et de relèvement face à la gamme complète des risques menaçant les pays insulaires du Pacifique.</w:t>
      </w:r>
    </w:p>
    <w:p w14:paraId="6802F5CC" w14:textId="3D26E910" w:rsidR="00C97FA0" w:rsidRPr="00B34CF9" w:rsidRDefault="00C97FA0" w:rsidP="00310E6F">
      <w:pPr>
        <w:pStyle w:val="ListParagraph"/>
        <w:numPr>
          <w:ilvl w:val="0"/>
          <w:numId w:val="12"/>
        </w:numPr>
        <w:tabs>
          <w:tab w:val="left" w:pos="8460"/>
        </w:tabs>
        <w:spacing w:after="120"/>
        <w:ind w:left="1714" w:right="778"/>
        <w:contextualSpacing w:val="0"/>
        <w:jc w:val="both"/>
        <w:rPr>
          <w:lang w:val="fr-FR"/>
        </w:rPr>
      </w:pPr>
      <w:r w:rsidRPr="00B34CF9">
        <w:rPr>
          <w:rFonts w:eastAsia="Myriad Pro" w:cs="Myriad Pro"/>
          <w:lang w:val="fr"/>
        </w:rPr>
        <w:t>Bien que les territoires d’outre-mer du Pacifique ne soient pas tenus de participer au Cadre de suivi et d’évaluation du RSI, il est essentiel, compte tenu de leur rôle clé dans la sécurité sanitaire régionale, qu’ils participent à des efforts de renforcement des capacités en matière de sécurité</w:t>
      </w:r>
      <w:r w:rsidR="00B34CF9">
        <w:rPr>
          <w:rFonts w:eastAsia="Myriad Pro" w:cs="Myriad Pro"/>
          <w:lang w:val="fr"/>
        </w:rPr>
        <w:t xml:space="preserve"> sanitaire alignés sur ceux des </w:t>
      </w:r>
      <w:r w:rsidRPr="00B34CF9">
        <w:rPr>
          <w:rFonts w:eastAsia="Myriad Pro" w:cs="Myriad Pro"/>
          <w:lang w:val="fr"/>
        </w:rPr>
        <w:t>États</w:t>
      </w:r>
      <w:r w:rsidR="00B34CF9">
        <w:rPr>
          <w:rFonts w:eastAsia="Myriad Pro" w:cs="Myriad Pro"/>
          <w:lang w:val="fr"/>
        </w:rPr>
        <w:t> </w:t>
      </w:r>
      <w:r w:rsidRPr="00B34CF9">
        <w:rPr>
          <w:rFonts w:eastAsia="Myriad Pro" w:cs="Myriad Pro"/>
          <w:lang w:val="fr"/>
        </w:rPr>
        <w:t>du</w:t>
      </w:r>
      <w:r w:rsidR="00B34CF9">
        <w:rPr>
          <w:rFonts w:eastAsia="Myriad Pro" w:cs="Myriad Pro"/>
          <w:lang w:val="fr"/>
        </w:rPr>
        <w:t> </w:t>
      </w:r>
      <w:r w:rsidRPr="00B34CF9">
        <w:rPr>
          <w:rFonts w:eastAsia="Myriad Pro" w:cs="Myriad Pro"/>
          <w:lang w:val="fr"/>
        </w:rPr>
        <w:t>Pacifique parties au RSI (2005).</w:t>
      </w:r>
    </w:p>
    <w:p w14:paraId="7064B9C6" w14:textId="49776A1C" w:rsidR="00207E49" w:rsidRPr="00B34CF9" w:rsidRDefault="002B1345" w:rsidP="006551B8">
      <w:pPr>
        <w:pStyle w:val="ListParagraph"/>
        <w:numPr>
          <w:ilvl w:val="0"/>
          <w:numId w:val="12"/>
        </w:numPr>
        <w:tabs>
          <w:tab w:val="left" w:pos="8460"/>
        </w:tabs>
        <w:spacing w:after="120"/>
        <w:ind w:right="778"/>
        <w:contextualSpacing w:val="0"/>
        <w:jc w:val="both"/>
        <w:rPr>
          <w:lang w:val="fr-FR"/>
        </w:rPr>
      </w:pPr>
      <w:r w:rsidRPr="00B34CF9">
        <w:rPr>
          <w:lang w:val="fr"/>
        </w:rPr>
        <w:t xml:space="preserve">Les </w:t>
      </w:r>
      <w:r w:rsidR="006551B8" w:rsidRPr="006551B8">
        <w:rPr>
          <w:lang w:val="fr"/>
        </w:rPr>
        <w:t>pays insulaires du Pacifique</w:t>
      </w:r>
      <w:r w:rsidRPr="00B34CF9">
        <w:rPr>
          <w:lang w:val="fr"/>
        </w:rPr>
        <w:t xml:space="preserve"> comptent parmi les plus vulnérables aux catastrophes naturelles, et des mesures doivent être prises pour renforcer et opérationnaliser davantage leurs capacités nationales de préparation et d’intervention en cas de catastrophe.</w:t>
      </w:r>
    </w:p>
    <w:p w14:paraId="2A4775A3" w14:textId="48522096" w:rsidR="00B51A45" w:rsidRPr="003A6CD1" w:rsidRDefault="00B51A45" w:rsidP="006551B8">
      <w:pPr>
        <w:pStyle w:val="ListParagraph"/>
        <w:numPr>
          <w:ilvl w:val="0"/>
          <w:numId w:val="12"/>
        </w:numPr>
        <w:tabs>
          <w:tab w:val="left" w:pos="8460"/>
        </w:tabs>
        <w:spacing w:after="120"/>
        <w:ind w:right="778"/>
        <w:contextualSpacing w:val="0"/>
        <w:jc w:val="both"/>
        <w:rPr>
          <w:lang w:val="fr-FR"/>
        </w:rPr>
      </w:pPr>
      <w:r w:rsidRPr="003A6CD1">
        <w:rPr>
          <w:lang w:val="fr"/>
        </w:rPr>
        <w:t xml:space="preserve">Les </w:t>
      </w:r>
      <w:r w:rsidR="006551B8" w:rsidRPr="006551B8">
        <w:rPr>
          <w:lang w:val="fr"/>
        </w:rPr>
        <w:t>pays insulaires du Pacifique</w:t>
      </w:r>
      <w:r w:rsidRPr="003A6CD1">
        <w:rPr>
          <w:lang w:val="fr"/>
        </w:rPr>
        <w:t xml:space="preserve"> comptent également parmi les plus vulnérables aux impacts du changement climatique, et des adaptations importantes sont nécessaires pour les protéger de ses effets dévastateurs sur la santé, le bien-être et les moyens de subsistance. </w:t>
      </w:r>
    </w:p>
    <w:p w14:paraId="1278C79B" w14:textId="72036C4B" w:rsidR="00B51A45" w:rsidRPr="00572E92" w:rsidRDefault="00B51A45" w:rsidP="00310E6F">
      <w:pPr>
        <w:pStyle w:val="ListParagraph"/>
        <w:numPr>
          <w:ilvl w:val="0"/>
          <w:numId w:val="12"/>
        </w:numPr>
        <w:tabs>
          <w:tab w:val="left" w:pos="8460"/>
        </w:tabs>
        <w:spacing w:after="120"/>
        <w:ind w:left="1714" w:right="778"/>
        <w:contextualSpacing w:val="0"/>
        <w:jc w:val="both"/>
        <w:rPr>
          <w:lang w:val="fr-FR"/>
        </w:rPr>
      </w:pPr>
      <w:r w:rsidRPr="00572E92">
        <w:rPr>
          <w:lang w:val="fr"/>
        </w:rPr>
        <w:t xml:space="preserve">Les capacités nationales doivent être au cœur des efforts de prévention, de préparation, d’intervention et de relèvement. Les pays insulaires du Pacifique en sont conscients et investissent dans les infrastructures essentielles, la planification, la capacité des ressources humaines et la logistique. </w:t>
      </w:r>
    </w:p>
    <w:p w14:paraId="1282FF05" w14:textId="68F36C47" w:rsidR="006A14B0" w:rsidRPr="00572E92" w:rsidRDefault="00B51A45" w:rsidP="00310E6F">
      <w:pPr>
        <w:pStyle w:val="ListParagraph"/>
        <w:numPr>
          <w:ilvl w:val="0"/>
          <w:numId w:val="12"/>
        </w:numPr>
        <w:tabs>
          <w:tab w:val="left" w:pos="8460"/>
        </w:tabs>
        <w:spacing w:after="120"/>
        <w:ind w:left="1714" w:right="778"/>
        <w:contextualSpacing w:val="0"/>
        <w:jc w:val="both"/>
        <w:rPr>
          <w:lang w:val="fr-FR"/>
        </w:rPr>
      </w:pPr>
      <w:r w:rsidRPr="00572E92">
        <w:rPr>
          <w:lang w:val="fr"/>
        </w:rPr>
        <w:t>Il est essentiel que les pays insulaires du Pacifique se préparent à faire face au large éventail de menaces pour la sécurité sanitaire existant dans la sous-région, notamment les pandémies et autres pathologies nouvelles et les risques non infectieux susceptibles de se propager à l’échelle internationale et/ou de provoquer des maladies.</w:t>
      </w:r>
    </w:p>
    <w:p w14:paraId="7DDFEBC6" w14:textId="3054B31D" w:rsidR="000B73BD" w:rsidRPr="00572E92" w:rsidRDefault="000B73BD" w:rsidP="00310E6F">
      <w:pPr>
        <w:pStyle w:val="ListParagraph"/>
        <w:numPr>
          <w:ilvl w:val="0"/>
          <w:numId w:val="12"/>
        </w:numPr>
        <w:tabs>
          <w:tab w:val="left" w:pos="8460"/>
        </w:tabs>
        <w:spacing w:after="120"/>
        <w:ind w:left="1714" w:right="778"/>
        <w:contextualSpacing w:val="0"/>
        <w:jc w:val="both"/>
        <w:rPr>
          <w:lang w:val="fr-FR"/>
        </w:rPr>
      </w:pPr>
      <w:r w:rsidRPr="00572E92">
        <w:rPr>
          <w:lang w:val="fr"/>
        </w:rPr>
        <w:t xml:space="preserve">La </w:t>
      </w:r>
      <w:r w:rsidR="00B17F22" w:rsidRPr="00572E92">
        <w:rPr>
          <w:lang w:val="fr"/>
        </w:rPr>
        <w:t>mise en œuvre</w:t>
      </w:r>
      <w:r w:rsidRPr="00572E92">
        <w:rPr>
          <w:lang w:val="fr"/>
        </w:rPr>
        <w:t xml:space="preserve"> du Cadre de suivi et d’évaluation du RSI – qui comprend les rapports annuels d’auto-évaluation obligatoires des États parties et trois activités volontaires d’assurance et d’amélioration continue de la qualité</w:t>
      </w:r>
      <w:r w:rsidR="00E01ED6" w:rsidRPr="00572E92">
        <w:rPr>
          <w:lang w:val="fr"/>
        </w:rPr>
        <w:t> </w:t>
      </w:r>
      <w:r w:rsidRPr="00572E92">
        <w:rPr>
          <w:lang w:val="fr"/>
        </w:rPr>
        <w:t>: a) les bilans post-intervention</w:t>
      </w:r>
      <w:r w:rsidR="00E01ED6" w:rsidRPr="00572E92">
        <w:rPr>
          <w:lang w:val="fr"/>
        </w:rPr>
        <w:t> </w:t>
      </w:r>
      <w:r w:rsidRPr="00572E92">
        <w:rPr>
          <w:lang w:val="fr"/>
        </w:rPr>
        <w:t>; b) les exercices de simulation</w:t>
      </w:r>
      <w:r w:rsidR="00E01ED6" w:rsidRPr="00572E92">
        <w:rPr>
          <w:lang w:val="fr"/>
        </w:rPr>
        <w:t> </w:t>
      </w:r>
      <w:r w:rsidRPr="00572E92">
        <w:rPr>
          <w:lang w:val="fr"/>
        </w:rPr>
        <w:t xml:space="preserve">; et c) une évaluation extérieure conjointe (JEE) dans tous les pays insulaires du Pacifique – facilite une évaluation plus objective de la préparation et de la capacité d’intervention en cas d’urgence sanitaire. </w:t>
      </w:r>
    </w:p>
    <w:p w14:paraId="4093D1F7" w14:textId="0309A519" w:rsidR="008749B6" w:rsidRPr="00572E92" w:rsidRDefault="008749B6" w:rsidP="00310E6F">
      <w:pPr>
        <w:pStyle w:val="ListParagraph"/>
        <w:numPr>
          <w:ilvl w:val="0"/>
          <w:numId w:val="12"/>
        </w:numPr>
        <w:tabs>
          <w:tab w:val="left" w:pos="8460"/>
        </w:tabs>
        <w:spacing w:after="120"/>
        <w:ind w:left="1714" w:right="778"/>
        <w:contextualSpacing w:val="0"/>
        <w:jc w:val="both"/>
        <w:rPr>
          <w:lang w:val="fr-FR"/>
        </w:rPr>
      </w:pPr>
      <w:r w:rsidRPr="00572E92">
        <w:rPr>
          <w:lang w:val="fr"/>
        </w:rPr>
        <w:t xml:space="preserve">L’appui aux pays insulaires du Pacifique en vue de la </w:t>
      </w:r>
      <w:r w:rsidR="00B17F22" w:rsidRPr="00572E92">
        <w:rPr>
          <w:lang w:val="fr"/>
        </w:rPr>
        <w:t>mise en œuvre</w:t>
      </w:r>
      <w:r w:rsidRPr="00572E92">
        <w:rPr>
          <w:lang w:val="fr"/>
        </w:rPr>
        <w:t xml:space="preserve"> accélérée des principales capacités requises au titre du RSI (2005) et de son Cadre de suivi et d’évaluation sont des domaines d’action clés du Plan de coordination pour la sécurité sanitaire dans le Pacifique (</w:t>
      </w:r>
      <w:proofErr w:type="spellStart"/>
      <w:r w:rsidRPr="00572E92">
        <w:rPr>
          <w:lang w:val="fr"/>
        </w:rPr>
        <w:t>PaHSeC</w:t>
      </w:r>
      <w:proofErr w:type="spellEnd"/>
      <w:r w:rsidRPr="00572E92">
        <w:rPr>
          <w:lang w:val="fr"/>
        </w:rPr>
        <w:t>).</w:t>
      </w:r>
    </w:p>
    <w:p w14:paraId="4AE737D3" w14:textId="6CA983AD" w:rsidR="000B73BD" w:rsidRPr="006551B8" w:rsidRDefault="000B73BD" w:rsidP="00310E6F">
      <w:pPr>
        <w:pStyle w:val="ListParagraph"/>
        <w:numPr>
          <w:ilvl w:val="0"/>
          <w:numId w:val="12"/>
        </w:numPr>
        <w:tabs>
          <w:tab w:val="left" w:pos="8460"/>
        </w:tabs>
        <w:spacing w:after="120"/>
        <w:ind w:left="1714" w:right="778"/>
        <w:contextualSpacing w:val="0"/>
        <w:jc w:val="both"/>
        <w:rPr>
          <w:lang w:val="fr-FR"/>
        </w:rPr>
      </w:pPr>
      <w:r w:rsidRPr="006551B8">
        <w:rPr>
          <w:rFonts w:eastAsia="Myriad Pro" w:cs="Myriad Pro"/>
          <w:lang w:val="fr"/>
        </w:rPr>
        <w:lastRenderedPageBreak/>
        <w:t>Bien que les territoires d’outre-mer du Pacifique ne soient pas tenus de participer au Cadre de suivi et d’évaluation du RSI, il est essentiel, compte tenu de leur rôle clé dans la sécurité sanitaire régionale, qu’ils participent à des efforts de renforcement de ces principales capacités requises, alignés sur ceux des États parties du Pacifique au RSI (2005).</w:t>
      </w:r>
    </w:p>
    <w:p w14:paraId="36F1C0C3" w14:textId="1265151A" w:rsidR="00B51A45" w:rsidRPr="0083443B" w:rsidRDefault="00B51A45" w:rsidP="00310E6F">
      <w:pPr>
        <w:pStyle w:val="ListParagraph"/>
        <w:numPr>
          <w:ilvl w:val="0"/>
          <w:numId w:val="12"/>
        </w:numPr>
        <w:tabs>
          <w:tab w:val="left" w:pos="8460"/>
        </w:tabs>
        <w:spacing w:after="120"/>
        <w:ind w:left="1714" w:right="778"/>
        <w:contextualSpacing w:val="0"/>
        <w:jc w:val="both"/>
        <w:rPr>
          <w:lang w:val="fr-FR"/>
        </w:rPr>
      </w:pPr>
      <w:r w:rsidRPr="0083443B">
        <w:rPr>
          <w:lang w:val="fr"/>
        </w:rPr>
        <w:t xml:space="preserve">Dans le Pacifique, les infrastructures sanitaires essentielles peuvent être particulièrement vulnérables à un large éventail d’urgences sanitaires, car les systèmes de santé dépendent fortement d’un nombre limité d’établissements de santé en matière d’orientation, de personnel et de fournitures. L’initiative « Hôpitaux intelligents » de l’OMS, récemment lancée, est axée sur l’amélioration de la résilience des hôpitaux, le renforcement des aspects structurels et opérationnels et l’intégration des technologies vertes. </w:t>
      </w:r>
    </w:p>
    <w:p w14:paraId="737CDA52" w14:textId="7EAA2C98" w:rsidR="00B51A45" w:rsidRPr="0083443B" w:rsidRDefault="00A90C0A" w:rsidP="00310E6F">
      <w:pPr>
        <w:pStyle w:val="ListParagraph"/>
        <w:numPr>
          <w:ilvl w:val="0"/>
          <w:numId w:val="12"/>
        </w:numPr>
        <w:tabs>
          <w:tab w:val="left" w:pos="8460"/>
        </w:tabs>
        <w:spacing w:after="120"/>
        <w:ind w:left="1714" w:right="778"/>
        <w:contextualSpacing w:val="0"/>
        <w:jc w:val="both"/>
        <w:rPr>
          <w:lang w:val="fr-FR"/>
        </w:rPr>
      </w:pPr>
      <w:r w:rsidRPr="0083443B">
        <w:rPr>
          <w:lang w:val="fr"/>
        </w:rPr>
        <w:t xml:space="preserve">Le Pacifique présente des vulnérabilités uniques dans les domaines de l’eau, de l’assainissement et de l’hygiène (WASH) en raison de sa géographie, de sa topographie, de son climat et de ses infrastructures existantes. Les situations d’urgence peuvent accentuer ces vulnérabilités et engendrer des risques considérables pour la santé et le bien-être des populations. </w:t>
      </w:r>
    </w:p>
    <w:p w14:paraId="3EF8E77E" w14:textId="77777777" w:rsidR="00D17073" w:rsidRPr="0083443B" w:rsidRDefault="00B51A45" w:rsidP="00310E6F">
      <w:pPr>
        <w:pStyle w:val="ListParagraph"/>
        <w:numPr>
          <w:ilvl w:val="0"/>
          <w:numId w:val="12"/>
        </w:numPr>
        <w:tabs>
          <w:tab w:val="left" w:pos="8460"/>
        </w:tabs>
        <w:spacing w:after="120"/>
        <w:ind w:left="1714" w:right="778"/>
        <w:contextualSpacing w:val="0"/>
        <w:jc w:val="both"/>
        <w:rPr>
          <w:lang w:val="fr-FR"/>
        </w:rPr>
      </w:pPr>
      <w:r w:rsidRPr="0083443B">
        <w:rPr>
          <w:lang w:val="fr"/>
        </w:rPr>
        <w:t xml:space="preserve">Plusieurs pays du Pacifique (Tonga, Fidji, Vanuatu et Îles Salomon) ont mis en place des groupes sectoriels permanents, dont certains intègrent la santé, la nutrition et l’eau, l’assainissement et l’hygiène pour planifier et coordonner efficacement la préparation et les interventions en cas d’urgence sanitaire. </w:t>
      </w:r>
    </w:p>
    <w:p w14:paraId="069432A9" w14:textId="0CC46455" w:rsidR="00B51A45" w:rsidRPr="0083443B" w:rsidRDefault="00BE1C6A" w:rsidP="00310E6F">
      <w:pPr>
        <w:pStyle w:val="ListParagraph"/>
        <w:numPr>
          <w:ilvl w:val="0"/>
          <w:numId w:val="12"/>
        </w:numPr>
        <w:tabs>
          <w:tab w:val="left" w:pos="8460"/>
        </w:tabs>
        <w:spacing w:after="120"/>
        <w:ind w:left="1714" w:right="778"/>
        <w:contextualSpacing w:val="0"/>
        <w:jc w:val="both"/>
        <w:rPr>
          <w:lang w:val="fr-FR"/>
        </w:rPr>
      </w:pPr>
      <w:r w:rsidRPr="0083443B">
        <w:rPr>
          <w:lang w:val="fr"/>
        </w:rPr>
        <w:t xml:space="preserve">Plusieurs pays ont également mis en place des équipes médicales d’urgence nationales ou sont en passe de le faire. La mise en place de ces équipes peut réduire la dépendance à l’égard du soutien international et permettre une intervention clinique plus rapide et plus appropriée en cas d’urgence. L’OMS et les partenaires régionaux peuvent apporter un soutien dans ce domaine. </w:t>
      </w:r>
    </w:p>
    <w:p w14:paraId="3E627AF8" w14:textId="0A909292" w:rsidR="00D17073" w:rsidRPr="0083443B" w:rsidRDefault="00D17073" w:rsidP="00310E6F">
      <w:pPr>
        <w:pStyle w:val="ListParagraph"/>
        <w:numPr>
          <w:ilvl w:val="0"/>
          <w:numId w:val="12"/>
        </w:numPr>
        <w:tabs>
          <w:tab w:val="left" w:pos="8460"/>
        </w:tabs>
        <w:spacing w:after="120"/>
        <w:ind w:left="1714" w:right="778"/>
        <w:contextualSpacing w:val="0"/>
        <w:jc w:val="both"/>
        <w:rPr>
          <w:lang w:val="fr-FR"/>
        </w:rPr>
      </w:pPr>
      <w:r w:rsidRPr="0083443B">
        <w:rPr>
          <w:lang w:val="fr"/>
        </w:rPr>
        <w:t>Lorsque les situations d’urgence dépassent les capacités nationales ou lorsque des compétences spécialisées sont nécessaires, des mécanismes de soutien externe tels que le Réseau mondial d’alerte et d’action en cas d’épidémie (GOARN) et les équipes médicales d’urgence internationales peuvent être envisagés pour compléter les capacités nationales. Ces réseaux peuvent être renforcés en recrutant et en formant de nouveaux partenaires dans la sous-région en vue de leur contribution en tant qu’intervenants.</w:t>
      </w:r>
    </w:p>
    <w:p w14:paraId="4A2CEAFF" w14:textId="0BECC558" w:rsidR="00B51A45" w:rsidRPr="0083443B" w:rsidRDefault="00B51A45" w:rsidP="00310E6F">
      <w:pPr>
        <w:pStyle w:val="ListParagraph"/>
        <w:numPr>
          <w:ilvl w:val="0"/>
          <w:numId w:val="12"/>
        </w:numPr>
        <w:tabs>
          <w:tab w:val="left" w:pos="8460"/>
        </w:tabs>
        <w:spacing w:after="120"/>
        <w:ind w:left="1714" w:right="778"/>
        <w:contextualSpacing w:val="0"/>
        <w:jc w:val="both"/>
        <w:rPr>
          <w:lang w:val="fr-FR"/>
        </w:rPr>
      </w:pPr>
      <w:r w:rsidRPr="0083443B">
        <w:rPr>
          <w:lang w:val="fr"/>
        </w:rPr>
        <w:t xml:space="preserve">Un appui est nécessaire en matière de logistique et de planification administrative en situation d’urgence, et peut comprendre les moyens et les processus de gestion et d’utilisation des stocks de sécurité aux niveaux national ou </w:t>
      </w:r>
      <w:proofErr w:type="spellStart"/>
      <w:r w:rsidRPr="0083443B">
        <w:rPr>
          <w:lang w:val="fr"/>
        </w:rPr>
        <w:t>sous-régional</w:t>
      </w:r>
      <w:proofErr w:type="spellEnd"/>
      <w:r w:rsidRPr="0083443B">
        <w:rPr>
          <w:lang w:val="fr"/>
        </w:rPr>
        <w:t>.</w:t>
      </w:r>
    </w:p>
    <w:p w14:paraId="3840200A" w14:textId="60C6E751" w:rsidR="00B51A45" w:rsidRPr="003A6051" w:rsidRDefault="00393BC8" w:rsidP="00310E6F">
      <w:pPr>
        <w:pStyle w:val="ListParagraph"/>
        <w:numPr>
          <w:ilvl w:val="0"/>
          <w:numId w:val="12"/>
        </w:numPr>
        <w:tabs>
          <w:tab w:val="left" w:pos="8460"/>
        </w:tabs>
        <w:spacing w:after="120"/>
        <w:ind w:left="1714" w:right="778"/>
        <w:contextualSpacing w:val="0"/>
        <w:jc w:val="both"/>
        <w:rPr>
          <w:lang w:val="fr-FR"/>
        </w:rPr>
      </w:pPr>
      <w:r w:rsidRPr="0083443B">
        <w:rPr>
          <w:lang w:val="fr"/>
        </w:rPr>
        <w:t xml:space="preserve">Les ministères de la Santé ont recensé le besoin de regrouper les ressources et les outils clés dans une « boîte à outils opérationnelle en ligne pour les urgences sanitaires ». </w:t>
      </w:r>
    </w:p>
    <w:p w14:paraId="6FB9454F" w14:textId="77777777" w:rsidR="003A6051" w:rsidRPr="0083443B" w:rsidRDefault="003A6051" w:rsidP="003A6051">
      <w:pPr>
        <w:pStyle w:val="ListParagraph"/>
        <w:tabs>
          <w:tab w:val="left" w:pos="8460"/>
        </w:tabs>
        <w:spacing w:after="120"/>
        <w:ind w:left="1714" w:right="778"/>
        <w:contextualSpacing w:val="0"/>
        <w:jc w:val="both"/>
        <w:rPr>
          <w:lang w:val="fr-FR"/>
        </w:rPr>
      </w:pPr>
    </w:p>
    <w:p w14:paraId="4C81C51C" w14:textId="7CAA9F49" w:rsidR="006A14B0" w:rsidRPr="0083443B" w:rsidRDefault="00B51A45" w:rsidP="00310E6F">
      <w:pPr>
        <w:pStyle w:val="ListParagraph"/>
        <w:numPr>
          <w:ilvl w:val="0"/>
          <w:numId w:val="12"/>
        </w:numPr>
        <w:tabs>
          <w:tab w:val="left" w:pos="8460"/>
        </w:tabs>
        <w:spacing w:after="120"/>
        <w:ind w:left="1714" w:right="778"/>
        <w:contextualSpacing w:val="0"/>
        <w:jc w:val="both"/>
        <w:rPr>
          <w:lang w:val="fr-FR"/>
        </w:rPr>
      </w:pPr>
      <w:r w:rsidRPr="0083443B">
        <w:rPr>
          <w:lang w:val="fr"/>
        </w:rPr>
        <w:lastRenderedPageBreak/>
        <w:t xml:space="preserve">L’appui à la planification, à l’organisation et à la </w:t>
      </w:r>
      <w:r w:rsidR="00B17F22" w:rsidRPr="0083443B">
        <w:rPr>
          <w:lang w:val="fr"/>
        </w:rPr>
        <w:t>mise en œuvre</w:t>
      </w:r>
      <w:r w:rsidRPr="0083443B">
        <w:rPr>
          <w:lang w:val="fr"/>
        </w:rPr>
        <w:t xml:space="preserve"> de formations et d’exercices au niveau national (y compris des simulations d’urgence et des bilans post-intervention) a été identifié comme une priorité.</w:t>
      </w:r>
    </w:p>
    <w:p w14:paraId="7064B9C7" w14:textId="77777777" w:rsidR="00CF652A" w:rsidRPr="00A5619A" w:rsidRDefault="00207E49" w:rsidP="009E1795">
      <w:pPr>
        <w:spacing w:after="0" w:line="200" w:lineRule="exact"/>
        <w:ind w:right="104"/>
        <w:jc w:val="both"/>
        <w:rPr>
          <w:highlight w:val="yellow"/>
          <w:lang w:val="fr-FR"/>
        </w:rPr>
      </w:pPr>
      <w:r>
        <w:rPr>
          <w:noProof/>
          <w:sz w:val="20"/>
          <w:szCs w:val="20"/>
          <w:highlight w:val="yellow"/>
        </w:rPr>
        <mc:AlternateContent>
          <mc:Choice Requires="wpg">
            <w:drawing>
              <wp:anchor distT="0" distB="0" distL="114300" distR="114300" simplePos="0" relativeHeight="251665920" behindDoc="1" locked="0" layoutInCell="1" allowOverlap="1" wp14:anchorId="7064B9F0" wp14:editId="7064B9F1">
                <wp:simplePos x="0" y="0"/>
                <wp:positionH relativeFrom="page">
                  <wp:posOffset>1676400</wp:posOffset>
                </wp:positionH>
                <wp:positionV relativeFrom="paragraph">
                  <wp:posOffset>76200</wp:posOffset>
                </wp:positionV>
                <wp:extent cx="5428615" cy="306070"/>
                <wp:effectExtent l="0" t="0" r="19685" b="0"/>
                <wp:wrapNone/>
                <wp:docPr id="65"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8615" cy="306070"/>
                          <a:chOff x="2636" y="-785"/>
                          <a:chExt cx="8549" cy="482"/>
                        </a:xfrm>
                        <a:solidFill>
                          <a:schemeClr val="accent6">
                            <a:lumMod val="75000"/>
                          </a:schemeClr>
                        </a:solidFill>
                      </wpg:grpSpPr>
                      <wpg:grpSp>
                        <wpg:cNvPr id="66" name="Group 20"/>
                        <wpg:cNvGrpSpPr>
                          <a:grpSpLocks/>
                        </wpg:cNvGrpSpPr>
                        <wpg:grpSpPr bwMode="auto">
                          <a:xfrm>
                            <a:off x="2636" y="-785"/>
                            <a:ext cx="8549" cy="2"/>
                            <a:chOff x="2636" y="-785"/>
                            <a:chExt cx="8549" cy="2"/>
                          </a:xfrm>
                          <a:grpFill/>
                        </wpg:grpSpPr>
                        <wps:wsp>
                          <wps:cNvPr id="67" name="Freeform 21"/>
                          <wps:cNvSpPr>
                            <a:spLocks/>
                          </wps:cNvSpPr>
                          <wps:spPr bwMode="auto">
                            <a:xfrm>
                              <a:off x="2636" y="-785"/>
                              <a:ext cx="8549" cy="2"/>
                            </a:xfrm>
                            <a:custGeom>
                              <a:avLst/>
                              <a:gdLst>
                                <a:gd name="T0" fmla="+- 0 11186 2636"/>
                                <a:gd name="T1" fmla="*/ T0 w 8549"/>
                                <a:gd name="T2" fmla="+- 0 2636 2636"/>
                                <a:gd name="T3" fmla="*/ T2 w 8549"/>
                              </a:gdLst>
                              <a:ahLst/>
                              <a:cxnLst>
                                <a:cxn ang="0">
                                  <a:pos x="T1" y="0"/>
                                </a:cxn>
                                <a:cxn ang="0">
                                  <a:pos x="T3" y="0"/>
                                </a:cxn>
                              </a:cxnLst>
                              <a:rect l="0" t="0" r="r" b="b"/>
                              <a:pathLst>
                                <a:path w="8549">
                                  <a:moveTo>
                                    <a:pt x="8550" y="0"/>
                                  </a:moveTo>
                                  <a:lnTo>
                                    <a:pt x="0" y="0"/>
                                  </a:lnTo>
                                </a:path>
                              </a:pathLst>
                            </a:custGeom>
                            <a:grpFill/>
                            <a:ln w="12700">
                              <a:solidFill>
                                <a:srgbClr val="8EA9C1"/>
                              </a:solidFill>
                              <a:round/>
                              <a:headEnd/>
                              <a:tailEnd/>
                            </a:ln>
                            <a:extLst/>
                          </wps:spPr>
                          <wps:bodyPr rot="0" vert="horz" wrap="square" lIns="91440" tIns="45720" rIns="91440" bIns="45720" anchor="t" anchorCtr="0" upright="1">
                            <a:noAutofit/>
                          </wps:bodyPr>
                        </wps:wsp>
                      </wpg:grpSp>
                      <wpg:grpSp>
                        <wpg:cNvPr id="68" name="Group 18"/>
                        <wpg:cNvGrpSpPr>
                          <a:grpSpLocks/>
                        </wpg:cNvGrpSpPr>
                        <wpg:grpSpPr bwMode="auto">
                          <a:xfrm>
                            <a:off x="2636" y="-775"/>
                            <a:ext cx="5745" cy="472"/>
                            <a:chOff x="2636" y="-775"/>
                            <a:chExt cx="5745" cy="472"/>
                          </a:xfrm>
                          <a:grpFill/>
                        </wpg:grpSpPr>
                        <wps:wsp>
                          <wps:cNvPr id="69" name="Freeform 19"/>
                          <wps:cNvSpPr>
                            <a:spLocks/>
                          </wps:cNvSpPr>
                          <wps:spPr bwMode="auto">
                            <a:xfrm>
                              <a:off x="2636" y="-775"/>
                              <a:ext cx="5745" cy="472"/>
                            </a:xfrm>
                            <a:custGeom>
                              <a:avLst/>
                              <a:gdLst>
                                <a:gd name="T0" fmla="+- 0 2636 2636"/>
                                <a:gd name="T1" fmla="*/ T0 w 1828"/>
                                <a:gd name="T2" fmla="+- 0 -303 -775"/>
                                <a:gd name="T3" fmla="*/ -303 h 472"/>
                                <a:gd name="T4" fmla="+- 0 4465 2636"/>
                                <a:gd name="T5" fmla="*/ T4 w 1828"/>
                                <a:gd name="T6" fmla="+- 0 -303 -775"/>
                                <a:gd name="T7" fmla="*/ -303 h 472"/>
                                <a:gd name="T8" fmla="+- 0 4465 2636"/>
                                <a:gd name="T9" fmla="*/ T8 w 1828"/>
                                <a:gd name="T10" fmla="+- 0 -775 -775"/>
                                <a:gd name="T11" fmla="*/ -775 h 472"/>
                                <a:gd name="T12" fmla="+- 0 2636 2636"/>
                                <a:gd name="T13" fmla="*/ T12 w 1828"/>
                                <a:gd name="T14" fmla="+- 0 -775 -775"/>
                                <a:gd name="T15" fmla="*/ -775 h 472"/>
                                <a:gd name="T16" fmla="+- 0 2636 2636"/>
                                <a:gd name="T17" fmla="*/ T16 w 1828"/>
                                <a:gd name="T18" fmla="+- 0 -303 -775"/>
                                <a:gd name="T19" fmla="*/ -303 h 472"/>
                              </a:gdLst>
                              <a:ahLst/>
                              <a:cxnLst>
                                <a:cxn ang="0">
                                  <a:pos x="T1" y="T3"/>
                                </a:cxn>
                                <a:cxn ang="0">
                                  <a:pos x="T5" y="T7"/>
                                </a:cxn>
                                <a:cxn ang="0">
                                  <a:pos x="T9" y="T11"/>
                                </a:cxn>
                                <a:cxn ang="0">
                                  <a:pos x="T13" y="T15"/>
                                </a:cxn>
                                <a:cxn ang="0">
                                  <a:pos x="T17" y="T19"/>
                                </a:cxn>
                              </a:cxnLst>
                              <a:rect l="0" t="0" r="r" b="b"/>
                              <a:pathLst>
                                <a:path w="1828" h="472">
                                  <a:moveTo>
                                    <a:pt x="0" y="472"/>
                                  </a:moveTo>
                                  <a:lnTo>
                                    <a:pt x="1829" y="472"/>
                                  </a:lnTo>
                                  <a:lnTo>
                                    <a:pt x="1829" y="0"/>
                                  </a:lnTo>
                                  <a:lnTo>
                                    <a:pt x="0" y="0"/>
                                  </a:lnTo>
                                  <a:lnTo>
                                    <a:pt x="0" y="472"/>
                                  </a:lnTo>
                                </a:path>
                              </a:pathLst>
                            </a:custGeom>
                            <a:solidFill>
                              <a:srgbClr val="1E7FB8"/>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064BA26" w14:textId="77777777" w:rsidR="00207E49" w:rsidRPr="00A5619A" w:rsidRDefault="00207E49" w:rsidP="00207E49">
                                <w:pPr>
                                  <w:pStyle w:val="Heading1"/>
                                  <w:spacing w:after="800"/>
                                  <w:jc w:val="left"/>
                                  <w:rPr>
                                    <w:lang w:val="fr-FR"/>
                                  </w:rPr>
                                </w:pPr>
                                <w:r>
                                  <w:rPr>
                                    <w:b/>
                                    <w:bCs/>
                                    <w:lang w:val="fr"/>
                                  </w:rPr>
                                  <w:t>Recommandations à l’intention des États Membres</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_x0000_s1036" style="position:absolute;left:0;text-align:left;margin-left:132pt;margin-top:6pt;width:427.45pt;height:24.1pt;z-index:-251650560;mso-position-horizontal-relative:page" coordorigin="2636,-785" coordsize="8549,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">
                <v:group id="Group 20" o:spid="_x0000_s1037" style="position:absolute;left:2636;top:-785;width:8549;height:2" coordorigin="2636,-785" coordsize="85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Freeform 21" o:spid="_x0000_s1038" style="position:absolute;left:2636;top:-785;width:8549;height:2;visibility:visible;mso-wrap-style:square;v-text-anchor:top" coordsize="85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CDsIA&#10;AADbAAAADwAAAGRycy9kb3ducmV2LnhtbESPzWoCQRCE74LvMLSQm84mAZWNo4gmokd/MNdmp91d&#10;st2zzEx08/YZQfBYVNVX1GzRcaOu5EPtxMDrKANFUjhbS2ngdPwaTkGFiGKxcUIG/ijAYt7vzTC3&#10;7iZ7uh5iqRJEQo4GqhjbXOtQVMQYRq4lSd7FecaYpC+19XhLcG70W5aNNWMtaaHCllYVFT+HXzbw&#10;yZvdBuvtZb2M7DPu3s+FfBvzMuiWH6AidfEZfrS31sB4Avcv6Qfo+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YcIOwgAAANsAAAAPAAAAAAAAAAAAAAAAAJgCAABkcnMvZG93&#10;bnJldi54bWxQSwUGAAAAAAQABAD1AAAAhwMAAAAA&#10;" path="m8550,l,e" filled="f" strokecolor="#8ea9c1" strokeweight="1pt">
                    <v:path arrowok="t" o:connecttype="custom" o:connectlocs="8550,0;0,0" o:connectangles="0,0"/>
                  </v:shape>
                </v:group>
                <v:group id="Group 18" o:spid="_x0000_s1039" style="position:absolute;left:2636;top:-775;width:5745;height:472" coordorigin="2636,-775" coordsize="5745,4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shape id="Freeform 19" o:spid="_x0000_s1040" style="position:absolute;left:2636;top:-775;width:5745;height:472;visibility:visible;mso-wrap-style:square;v-text-anchor:top" coordsize="1828,4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CbKsUA&#10;AADbAAAADwAAAGRycy9kb3ducmV2LnhtbESPQWvCQBSE74X+h+UJvYhuWopodJVSaOmpoJaqt0f2&#10;mQR334bsa5L++64g9DjMzDfMajN4pzpqYx3YwOM0A0VcBFtzaeBr/zaZg4qCbNEFJgO/FGGzvr9b&#10;YW5Dz1vqdlKqBOGYo4FKpMm1jkVFHuM0NMTJO4fWoyTZltq22Ce4d/opy2baY81pocKGXisqLrsf&#10;b+A4fj7MLwvpD5/f76fadaVo1xvzMBpelqCEBvkP39of1sBsAdcv6Qfo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kJsqxQAAANsAAAAPAAAAAAAAAAAAAAAAAJgCAABkcnMv&#10;ZG93bnJldi54bWxQSwUGAAAAAAQABAD1AAAAigMAAAAA&#10;" adj="-11796480,,5400" path="m,472r1829,l1829,,,,,472e" fillcolor="#1e7fb8" stroked="f">
                    <v:stroke joinstyle="round"/>
                    <v:formulas/>
                    <v:path arrowok="t" o:connecttype="custom" o:connectlocs="0,-303;5748,-303;5748,-775;0,-775;0,-303" o:connectangles="0,0,0,0,0" textboxrect="0,0,1828,472"/>
                    <v:textbox>
                      <w:txbxContent>
                        <w:p w14:paraId="7064BA26" w14:textId="77777777" w:rsidR="00207E49" w:rsidRPr="00A5619A" w:rsidRDefault="00207E49" w:rsidP="00207E49">
                          <w:pPr>
                            <w:pStyle w:val="Heading1"/>
                            <w:spacing w:after="800"/>
                            <w:jc w:val="left"/>
                            <w:rPr>
                              <w:lang w:val="fr-FR"/>
                            </w:rPr>
                          </w:pPr>
                          <w:r>
                            <w:rPr>
                              <w:b/>
                              <w:bCs/>
                              <w:lang w:val="fr"/>
                            </w:rPr>
                            <w:t>Recommandations à l’intention des États Membres</w:t>
                          </w:r>
                        </w:p>
                      </w:txbxContent>
                    </v:textbox>
                  </v:shape>
                </v:group>
                <w10:wrap anchorx="page"/>
              </v:group>
            </w:pict>
          </mc:Fallback>
        </mc:AlternateContent>
      </w:r>
    </w:p>
    <w:p w14:paraId="7064B9C8" w14:textId="77777777" w:rsidR="00207E49" w:rsidRPr="00A5619A" w:rsidRDefault="00207E49" w:rsidP="009E1795">
      <w:pPr>
        <w:spacing w:after="0" w:line="200" w:lineRule="exact"/>
        <w:ind w:right="104"/>
        <w:jc w:val="both"/>
        <w:rPr>
          <w:highlight w:val="yellow"/>
          <w:lang w:val="fr-FR"/>
        </w:rPr>
      </w:pPr>
    </w:p>
    <w:p w14:paraId="7064B9C9" w14:textId="77777777" w:rsidR="00207E49" w:rsidRPr="00A5619A" w:rsidRDefault="00207E49" w:rsidP="009E1795">
      <w:pPr>
        <w:spacing w:after="0" w:line="200" w:lineRule="exact"/>
        <w:ind w:right="104"/>
        <w:jc w:val="both"/>
        <w:rPr>
          <w:highlight w:val="yellow"/>
          <w:lang w:val="fr-FR"/>
        </w:rPr>
      </w:pPr>
    </w:p>
    <w:p w14:paraId="7064B9CA" w14:textId="77777777" w:rsidR="00207E49" w:rsidRPr="00A5619A" w:rsidRDefault="00207E49" w:rsidP="009E1795">
      <w:pPr>
        <w:spacing w:before="1" w:after="0" w:line="200" w:lineRule="exact"/>
        <w:ind w:left="1418" w:right="104"/>
        <w:jc w:val="both"/>
        <w:rPr>
          <w:highlight w:val="yellow"/>
          <w:lang w:val="fr-FR"/>
        </w:rPr>
      </w:pPr>
    </w:p>
    <w:p w14:paraId="6A41686E" w14:textId="1549BF8B" w:rsidR="00B51A45" w:rsidRPr="008C1DE5" w:rsidRDefault="00B51A45" w:rsidP="00310E6F">
      <w:pPr>
        <w:pStyle w:val="ListParagraph"/>
        <w:numPr>
          <w:ilvl w:val="0"/>
          <w:numId w:val="14"/>
        </w:numPr>
        <w:tabs>
          <w:tab w:val="left" w:pos="8370"/>
        </w:tabs>
        <w:spacing w:after="120" w:line="238" w:lineRule="auto"/>
        <w:ind w:left="1858" w:right="778"/>
        <w:contextualSpacing w:val="0"/>
        <w:jc w:val="both"/>
        <w:rPr>
          <w:rFonts w:eastAsia="Myriad Pro" w:cs="Myriad Pro"/>
          <w:lang w:val="fr-FR"/>
        </w:rPr>
      </w:pPr>
      <w:r w:rsidRPr="008C1DE5">
        <w:rPr>
          <w:rFonts w:eastAsia="Myriad Pro" w:cs="Myriad Pro"/>
          <w:lang w:val="fr"/>
        </w:rPr>
        <w:t xml:space="preserve">Analyser les risques et les vulnérabilités sanitaires des pays insulaires du Pacifique afin d’identifier les lacunes importantes et de prioriser les actions et les capacités de préparation et d’intervention. </w:t>
      </w:r>
    </w:p>
    <w:p w14:paraId="6A504536" w14:textId="201CDADD" w:rsidR="00B51A45" w:rsidRPr="008C1DE5" w:rsidRDefault="00A90C0A" w:rsidP="00310E6F">
      <w:pPr>
        <w:pStyle w:val="ListParagraph"/>
        <w:numPr>
          <w:ilvl w:val="0"/>
          <w:numId w:val="14"/>
        </w:numPr>
        <w:tabs>
          <w:tab w:val="left" w:pos="8370"/>
        </w:tabs>
        <w:spacing w:after="120" w:line="238" w:lineRule="auto"/>
        <w:ind w:left="1858" w:right="778"/>
        <w:contextualSpacing w:val="0"/>
        <w:jc w:val="both"/>
        <w:rPr>
          <w:rFonts w:eastAsia="Myriad Pro" w:cs="Myriad Pro"/>
          <w:lang w:val="fr-FR"/>
        </w:rPr>
      </w:pPr>
      <w:r w:rsidRPr="008C1DE5">
        <w:rPr>
          <w:rFonts w:eastAsia="Myriad Pro" w:cs="Myriad Pro"/>
          <w:lang w:val="fr"/>
        </w:rPr>
        <w:t xml:space="preserve">Examiner soigneusement les impacts probables du changement climatique sur la santé et les systèmes de santé, et intégrer l’adaptation et la résilience au changement climatique dans les plans et budgets à court et à long terme.  </w:t>
      </w:r>
    </w:p>
    <w:p w14:paraId="1BAA74F6" w14:textId="7998602D" w:rsidR="00801F5C" w:rsidRPr="008C1DE5" w:rsidRDefault="00801F5C" w:rsidP="00310E6F">
      <w:pPr>
        <w:pStyle w:val="ListParagraph"/>
        <w:numPr>
          <w:ilvl w:val="0"/>
          <w:numId w:val="14"/>
        </w:numPr>
        <w:tabs>
          <w:tab w:val="left" w:pos="8370"/>
        </w:tabs>
        <w:spacing w:after="120" w:line="238" w:lineRule="auto"/>
        <w:ind w:left="1858" w:right="778"/>
        <w:contextualSpacing w:val="0"/>
        <w:jc w:val="both"/>
        <w:rPr>
          <w:rFonts w:eastAsia="Myriad Pro" w:cs="Myriad Pro"/>
          <w:lang w:val="fr-FR"/>
        </w:rPr>
      </w:pPr>
      <w:r w:rsidRPr="008C1DE5">
        <w:rPr>
          <w:rFonts w:eastAsia="Myriad Pro" w:cs="Myriad Pro"/>
          <w:lang w:val="fr"/>
        </w:rPr>
        <w:t xml:space="preserve">Élaborer, chiffrer et financer des plans d’action nationaux actualisés pour la </w:t>
      </w:r>
      <w:r w:rsidR="00B17F22" w:rsidRPr="008C1DE5">
        <w:rPr>
          <w:rFonts w:eastAsia="Myriad Pro" w:cs="Myriad Pro"/>
          <w:lang w:val="fr"/>
        </w:rPr>
        <w:t>mise en œuvre</w:t>
      </w:r>
      <w:r w:rsidRPr="008C1DE5">
        <w:rPr>
          <w:rFonts w:eastAsia="Myriad Pro" w:cs="Myriad Pro"/>
          <w:lang w:val="fr"/>
        </w:rPr>
        <w:t xml:space="preserve"> des principales capacités requises au titre du RSI, en utilisant la SMEAP</w:t>
      </w:r>
      <w:r w:rsidR="00E01ED6" w:rsidRPr="008C1DE5">
        <w:rPr>
          <w:rFonts w:eastAsia="Myriad Pro" w:cs="Myriad Pro"/>
          <w:lang w:val="fr"/>
        </w:rPr>
        <w:t> </w:t>
      </w:r>
      <w:r w:rsidRPr="008C1DE5">
        <w:rPr>
          <w:rFonts w:eastAsia="Myriad Pro" w:cs="Myriad Pro"/>
          <w:lang w:val="fr"/>
        </w:rPr>
        <w:t>III comme feuille de route.</w:t>
      </w:r>
    </w:p>
    <w:p w14:paraId="02104651" w14:textId="3866FA9E" w:rsidR="00801F5C" w:rsidRPr="008C1DE5" w:rsidRDefault="00801F5C" w:rsidP="00310E6F">
      <w:pPr>
        <w:pStyle w:val="ListParagraph"/>
        <w:numPr>
          <w:ilvl w:val="0"/>
          <w:numId w:val="14"/>
        </w:numPr>
        <w:tabs>
          <w:tab w:val="left" w:pos="8370"/>
        </w:tabs>
        <w:spacing w:after="120" w:line="238" w:lineRule="auto"/>
        <w:ind w:left="1858" w:right="778"/>
        <w:contextualSpacing w:val="0"/>
        <w:jc w:val="both"/>
        <w:rPr>
          <w:rFonts w:eastAsia="Myriad Pro" w:cs="Myriad Pro"/>
          <w:lang w:val="fr-FR"/>
        </w:rPr>
      </w:pPr>
      <w:r w:rsidRPr="008C1DE5">
        <w:rPr>
          <w:rFonts w:eastAsia="Myriad Pro" w:cs="Myriad Pro"/>
          <w:lang w:val="fr"/>
        </w:rPr>
        <w:t xml:space="preserve">Renforcer la </w:t>
      </w:r>
      <w:r w:rsidR="00B17F22" w:rsidRPr="008C1DE5">
        <w:rPr>
          <w:rFonts w:eastAsia="Myriad Pro" w:cs="Myriad Pro"/>
          <w:lang w:val="fr"/>
        </w:rPr>
        <w:t>mise en œuvre</w:t>
      </w:r>
      <w:r w:rsidRPr="008C1DE5">
        <w:rPr>
          <w:rFonts w:eastAsia="Myriad Pro" w:cs="Myriad Pro"/>
          <w:lang w:val="fr"/>
        </w:rPr>
        <w:t xml:space="preserve"> du RSI (2005), y compris la préparation du rapport annuel obligatoire par tous les États parties au RSI (200</w:t>
      </w:r>
      <w:r w:rsidR="00BA730E" w:rsidRPr="008C1DE5">
        <w:rPr>
          <w:rFonts w:eastAsia="Myriad Pro" w:cs="Myriad Pro"/>
          <w:lang w:val="fr"/>
        </w:rPr>
        <w:t>5) avant février </w:t>
      </w:r>
      <w:r w:rsidRPr="008C1DE5">
        <w:rPr>
          <w:rFonts w:eastAsia="Myriad Pro" w:cs="Myriad Pro"/>
          <w:lang w:val="fr"/>
        </w:rPr>
        <w:t>2019. Encourager la participation</w:t>
      </w:r>
      <w:r w:rsidR="00C6649C" w:rsidRPr="008C1DE5">
        <w:rPr>
          <w:rFonts w:eastAsia="Myriad Pro" w:cs="Myriad Pro"/>
          <w:lang w:val="fr"/>
        </w:rPr>
        <w:t xml:space="preserve"> des territoires d’outre-mer du </w:t>
      </w:r>
      <w:r w:rsidRPr="008C1DE5">
        <w:rPr>
          <w:rFonts w:eastAsia="Myriad Pro" w:cs="Myriad Pro"/>
          <w:lang w:val="fr"/>
        </w:rPr>
        <w:t xml:space="preserve">Pacifique à des efforts de renforcement des capacités en matière de sécurité sanitaire, alignés sur ceux des pays insulaires du Pacifique. </w:t>
      </w:r>
    </w:p>
    <w:p w14:paraId="501CC4F2" w14:textId="2A3D0F42" w:rsidR="00143A98" w:rsidRPr="008C1DE5" w:rsidRDefault="00801F5C" w:rsidP="00143A98">
      <w:pPr>
        <w:pStyle w:val="ListParagraph"/>
        <w:numPr>
          <w:ilvl w:val="0"/>
          <w:numId w:val="14"/>
        </w:numPr>
        <w:tabs>
          <w:tab w:val="left" w:pos="8370"/>
        </w:tabs>
        <w:spacing w:after="120" w:line="238" w:lineRule="auto"/>
        <w:ind w:left="1858" w:right="778"/>
        <w:contextualSpacing w:val="0"/>
        <w:jc w:val="both"/>
        <w:rPr>
          <w:rFonts w:eastAsia="Myriad Pro" w:cs="Myriad Pro"/>
          <w:lang w:val="fr-FR"/>
        </w:rPr>
      </w:pPr>
      <w:r w:rsidRPr="008C1DE5">
        <w:rPr>
          <w:rFonts w:eastAsia="Myriad Pro" w:cs="Myriad Pro"/>
          <w:lang w:val="fr"/>
        </w:rPr>
        <w:t xml:space="preserve">Renforcer les capacités de préparation et d’intervention en cas d’urgence englobant tous les risques grâce à un bilan annuel post-intervention des expériences d’intervention d’urgence et/ou de la </w:t>
      </w:r>
      <w:r w:rsidR="00B17F22" w:rsidRPr="008C1DE5">
        <w:rPr>
          <w:rFonts w:eastAsia="Myriad Pro" w:cs="Myriad Pro"/>
          <w:lang w:val="fr"/>
        </w:rPr>
        <w:t>mise en œuvre</w:t>
      </w:r>
      <w:r w:rsidRPr="008C1DE5">
        <w:rPr>
          <w:rFonts w:eastAsia="Myriad Pro" w:cs="Myriad Pro"/>
          <w:lang w:val="fr"/>
        </w:rPr>
        <w:t xml:space="preserve"> d’exercices de simulation.</w:t>
      </w:r>
    </w:p>
    <w:p w14:paraId="4E0B2CD5" w14:textId="5C23C7FF" w:rsidR="00126EC5" w:rsidRPr="008C1DE5" w:rsidRDefault="00B51A45" w:rsidP="00310E6F">
      <w:pPr>
        <w:pStyle w:val="ListParagraph"/>
        <w:numPr>
          <w:ilvl w:val="0"/>
          <w:numId w:val="14"/>
        </w:numPr>
        <w:tabs>
          <w:tab w:val="left" w:pos="8370"/>
        </w:tabs>
        <w:spacing w:after="120" w:line="238" w:lineRule="auto"/>
        <w:ind w:left="1858" w:right="778"/>
        <w:contextualSpacing w:val="0"/>
        <w:jc w:val="both"/>
        <w:rPr>
          <w:rFonts w:eastAsia="Myriad Pro" w:cs="Myriad Pro"/>
          <w:lang w:val="fr-FR"/>
        </w:rPr>
      </w:pPr>
      <w:r w:rsidRPr="008C1DE5">
        <w:rPr>
          <w:rFonts w:eastAsia="Myriad Pro" w:cs="Myriad Pro"/>
          <w:lang w:val="fr"/>
        </w:rPr>
        <w:t xml:space="preserve">Établir des mécanismes clairs pour la gestion et la coordination des interventions d’urgence dans le secteur de la santé, y compris l’encadrement, la gestion de l’information, la coordination des partenaires et les processus administratifs liés aux interventions rapides. Veiller à ce que tous les niveaux du personnel aient connaissance de ces mécanismes et procédures. </w:t>
      </w:r>
    </w:p>
    <w:p w14:paraId="0846DED5" w14:textId="07136B98" w:rsidR="00126EC5" w:rsidRPr="008C1DE5" w:rsidRDefault="00B51A45" w:rsidP="00310E6F">
      <w:pPr>
        <w:pStyle w:val="ListParagraph"/>
        <w:numPr>
          <w:ilvl w:val="0"/>
          <w:numId w:val="14"/>
        </w:numPr>
        <w:tabs>
          <w:tab w:val="left" w:pos="8370"/>
        </w:tabs>
        <w:spacing w:after="120" w:line="238" w:lineRule="auto"/>
        <w:ind w:left="1858" w:right="778"/>
        <w:contextualSpacing w:val="0"/>
        <w:jc w:val="both"/>
        <w:rPr>
          <w:rFonts w:eastAsia="Myriad Pro" w:cs="Myriad Pro"/>
          <w:lang w:val="fr-FR"/>
        </w:rPr>
      </w:pPr>
      <w:r w:rsidRPr="008C1DE5">
        <w:rPr>
          <w:rFonts w:eastAsia="Myriad Pro" w:cs="Myriad Pro"/>
          <w:lang w:val="fr"/>
        </w:rPr>
        <w:t>Pendant la phase de préparation, élaborer les produits d’information clés et préparer les outils d’évaluation et les méthodes de collecte de données pour permettre un accès rapide aux informations clés en cas d’urgence.</w:t>
      </w:r>
    </w:p>
    <w:p w14:paraId="09FD5DC8" w14:textId="0F322F32" w:rsidR="00B51A45" w:rsidRPr="008C1DE5" w:rsidRDefault="00B51A45" w:rsidP="00310E6F">
      <w:pPr>
        <w:pStyle w:val="ListParagraph"/>
        <w:numPr>
          <w:ilvl w:val="0"/>
          <w:numId w:val="14"/>
        </w:numPr>
        <w:tabs>
          <w:tab w:val="left" w:pos="8370"/>
        </w:tabs>
        <w:spacing w:after="120" w:line="238" w:lineRule="auto"/>
        <w:ind w:left="1858" w:right="778"/>
        <w:contextualSpacing w:val="0"/>
        <w:jc w:val="both"/>
        <w:rPr>
          <w:rFonts w:eastAsia="Myriad Pro" w:cs="Myriad Pro"/>
          <w:lang w:val="fr-FR"/>
        </w:rPr>
      </w:pPr>
      <w:r w:rsidRPr="008C1DE5">
        <w:rPr>
          <w:rFonts w:eastAsia="Myriad Pro" w:cs="Myriad Pro"/>
          <w:lang w:val="fr"/>
        </w:rPr>
        <w:t>Si le contexte le permet, mettre en place des équipes médicales d’urgence nationales pour renforcer l’intervention clinique et de santé publique nationale dans les situations d’urgence. Dans tous les contextes, établir un processus décisionnel, des procédures de demande et des mécanismes de coordination clairs concernant l’aide internationale.</w:t>
      </w:r>
    </w:p>
    <w:p w14:paraId="491EFCC4" w14:textId="5B04159C" w:rsidR="00B51A45" w:rsidRPr="008C1DE5" w:rsidRDefault="00B51A45" w:rsidP="00310E6F">
      <w:pPr>
        <w:pStyle w:val="ListParagraph"/>
        <w:numPr>
          <w:ilvl w:val="0"/>
          <w:numId w:val="14"/>
        </w:numPr>
        <w:tabs>
          <w:tab w:val="left" w:pos="8370"/>
        </w:tabs>
        <w:spacing w:after="120" w:line="238" w:lineRule="auto"/>
        <w:ind w:left="1858" w:right="778"/>
        <w:contextualSpacing w:val="0"/>
        <w:jc w:val="both"/>
        <w:rPr>
          <w:rFonts w:eastAsia="Myriad Pro" w:cs="Myriad Pro"/>
          <w:lang w:val="fr-FR"/>
        </w:rPr>
      </w:pPr>
      <w:r w:rsidRPr="008C1DE5">
        <w:rPr>
          <w:rFonts w:eastAsia="Myriad Pro" w:cs="Myriad Pro"/>
          <w:lang w:val="fr"/>
        </w:rPr>
        <w:t>Élaborer et mettre à l’essai des modalités de fonctionnement normalisées (MON) en cas d’urgence, et former le personnel du ministère de la Santé en conséquence, en particulier pour les processus administratifs et financiers en plus de l’intervention technique.</w:t>
      </w:r>
    </w:p>
    <w:p w14:paraId="44D3CCD6" w14:textId="4F0FD0D4" w:rsidR="00B51A45" w:rsidRPr="008C1DE5" w:rsidRDefault="00B51A45" w:rsidP="00310E6F">
      <w:pPr>
        <w:pStyle w:val="ListParagraph"/>
        <w:numPr>
          <w:ilvl w:val="0"/>
          <w:numId w:val="14"/>
        </w:numPr>
        <w:tabs>
          <w:tab w:val="left" w:pos="8370"/>
        </w:tabs>
        <w:spacing w:after="120" w:line="238" w:lineRule="auto"/>
        <w:ind w:left="1858" w:right="778"/>
        <w:contextualSpacing w:val="0"/>
        <w:jc w:val="both"/>
        <w:rPr>
          <w:rFonts w:eastAsia="Myriad Pro" w:cs="Myriad Pro"/>
          <w:lang w:val="fr-FR"/>
        </w:rPr>
      </w:pPr>
      <w:r w:rsidRPr="008C1DE5">
        <w:rPr>
          <w:rFonts w:eastAsia="Myriad Pro" w:cs="Myriad Pro"/>
          <w:lang w:val="fr"/>
        </w:rPr>
        <w:t xml:space="preserve">Établir des centres d’opérations d’urgence de santé publique (PHEOC), y compris les locaux, les principales ressources matérielles, les principaux </w:t>
      </w:r>
      <w:r w:rsidRPr="008C1DE5">
        <w:rPr>
          <w:rFonts w:eastAsia="Myriad Pro" w:cs="Myriad Pro"/>
          <w:lang w:val="fr"/>
        </w:rPr>
        <w:lastRenderedPageBreak/>
        <w:t xml:space="preserve">rôles et responsabilités et les modalités de fonctionnement normalisées (MON) associés, pour faciliter la coordination des interventions d’urgence dans le secteur de la santé. Envisager des capacités simplifiées et des PHEOC mobiles ainsi que l’application des principes et pratiques du système de gestion des incidents. </w:t>
      </w:r>
    </w:p>
    <w:p w14:paraId="0EEB3BD4" w14:textId="7D86B7A7" w:rsidR="00B51A45" w:rsidRPr="008C1DE5" w:rsidRDefault="00B51A45" w:rsidP="00310E6F">
      <w:pPr>
        <w:pStyle w:val="ListParagraph"/>
        <w:numPr>
          <w:ilvl w:val="0"/>
          <w:numId w:val="14"/>
        </w:numPr>
        <w:tabs>
          <w:tab w:val="left" w:pos="8370"/>
        </w:tabs>
        <w:spacing w:after="120" w:line="238" w:lineRule="auto"/>
        <w:ind w:left="1858" w:right="778"/>
        <w:contextualSpacing w:val="0"/>
        <w:jc w:val="both"/>
        <w:rPr>
          <w:rFonts w:eastAsia="Myriad Pro" w:cs="Myriad Pro"/>
          <w:lang w:val="fr-FR"/>
        </w:rPr>
      </w:pPr>
      <w:r w:rsidRPr="008C1DE5">
        <w:rPr>
          <w:rFonts w:eastAsia="Myriad Pro" w:cs="Myriad Pro"/>
          <w:lang w:val="fr"/>
        </w:rPr>
        <w:t>Coopérer avec les ministères de la Santé et les ministères des Finances en vue de l’établissement de processus financiers rapides pour garantir l’accès au financement en cas d’urgence.</w:t>
      </w:r>
    </w:p>
    <w:p w14:paraId="200B3636" w14:textId="77777777" w:rsidR="009E1795" w:rsidRPr="008C1DE5" w:rsidRDefault="00801F5C" w:rsidP="00310E6F">
      <w:pPr>
        <w:pStyle w:val="ListParagraph"/>
        <w:numPr>
          <w:ilvl w:val="0"/>
          <w:numId w:val="14"/>
        </w:numPr>
        <w:tabs>
          <w:tab w:val="left" w:pos="8370"/>
        </w:tabs>
        <w:spacing w:after="120" w:line="238" w:lineRule="auto"/>
        <w:ind w:left="1858" w:right="778"/>
        <w:contextualSpacing w:val="0"/>
        <w:jc w:val="both"/>
        <w:rPr>
          <w:rFonts w:eastAsia="Myriad Pro" w:cs="Myriad Pro"/>
          <w:lang w:val="fr-FR"/>
        </w:rPr>
      </w:pPr>
      <w:r w:rsidRPr="008C1DE5">
        <w:rPr>
          <w:rFonts w:eastAsia="Myriad Pro" w:cs="Myriad Pro"/>
          <w:lang w:val="fr"/>
        </w:rPr>
        <w:t xml:space="preserve">Identifier les institutions et les capacités nationales de santé publique appropriées susceptibles de contribuer au GOARN dans la sous-région du Pacifique. </w:t>
      </w:r>
    </w:p>
    <w:p w14:paraId="7064B9CF" w14:textId="4292CEB2" w:rsidR="00207E49" w:rsidRPr="008C1DE5" w:rsidRDefault="00801F5C" w:rsidP="00310E6F">
      <w:pPr>
        <w:pStyle w:val="ListParagraph"/>
        <w:numPr>
          <w:ilvl w:val="0"/>
          <w:numId w:val="14"/>
        </w:numPr>
        <w:tabs>
          <w:tab w:val="left" w:pos="8370"/>
        </w:tabs>
        <w:spacing w:after="120" w:line="238" w:lineRule="auto"/>
        <w:ind w:left="1858" w:right="778"/>
        <w:contextualSpacing w:val="0"/>
        <w:jc w:val="both"/>
        <w:rPr>
          <w:rFonts w:eastAsia="Myriad Pro" w:cs="Myriad Pro"/>
          <w:lang w:val="fr-FR"/>
        </w:rPr>
      </w:pPr>
      <w:r w:rsidRPr="008C1DE5">
        <w:rPr>
          <w:rFonts w:eastAsia="Myriad Pro" w:cs="Myriad Pro"/>
          <w:lang w:val="fr"/>
        </w:rPr>
        <w:t xml:space="preserve">Encourager les ministères de la Santé à plaider en faveur de l’inclusion de considérations sanitaires dans tous les plans nationaux de lutte contre les risques et le changement climatique. </w:t>
      </w:r>
    </w:p>
    <w:p w14:paraId="7064B9D0" w14:textId="77777777" w:rsidR="00207E49" w:rsidRPr="00A5619A" w:rsidRDefault="00207E49" w:rsidP="009E1795">
      <w:pPr>
        <w:spacing w:before="1" w:after="0" w:line="200" w:lineRule="exact"/>
        <w:ind w:left="992" w:right="104"/>
        <w:jc w:val="both"/>
        <w:rPr>
          <w:highlight w:val="yellow"/>
          <w:lang w:val="fr-FR"/>
        </w:rPr>
      </w:pPr>
    </w:p>
    <w:p w14:paraId="7064B9D1" w14:textId="77777777" w:rsidR="00207E49" w:rsidRPr="00A5619A" w:rsidRDefault="00E7364D" w:rsidP="009E1795">
      <w:pPr>
        <w:spacing w:after="0" w:line="200" w:lineRule="exact"/>
        <w:ind w:right="104"/>
        <w:jc w:val="both"/>
        <w:rPr>
          <w:sz w:val="20"/>
          <w:szCs w:val="20"/>
          <w:highlight w:val="yellow"/>
          <w:lang w:val="fr-FR"/>
        </w:rPr>
      </w:pPr>
      <w:r>
        <w:rPr>
          <w:noProof/>
          <w:sz w:val="20"/>
          <w:szCs w:val="20"/>
          <w:highlight w:val="yellow"/>
        </w:rPr>
        <mc:AlternateContent>
          <mc:Choice Requires="wpg">
            <w:drawing>
              <wp:anchor distT="0" distB="0" distL="114300" distR="114300" simplePos="0" relativeHeight="251667968" behindDoc="1" locked="0" layoutInCell="1" allowOverlap="1" wp14:anchorId="7064B9F2" wp14:editId="7064B9F3">
                <wp:simplePos x="0" y="0"/>
                <wp:positionH relativeFrom="page">
                  <wp:posOffset>1676400</wp:posOffset>
                </wp:positionH>
                <wp:positionV relativeFrom="paragraph">
                  <wp:posOffset>19685</wp:posOffset>
                </wp:positionV>
                <wp:extent cx="5428615" cy="306070"/>
                <wp:effectExtent l="0" t="0" r="19685" b="0"/>
                <wp:wrapNone/>
                <wp:docPr id="70"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8615" cy="306070"/>
                          <a:chOff x="2636" y="-785"/>
                          <a:chExt cx="8549" cy="482"/>
                        </a:xfrm>
                        <a:solidFill>
                          <a:schemeClr val="accent6">
                            <a:lumMod val="75000"/>
                          </a:schemeClr>
                        </a:solidFill>
                      </wpg:grpSpPr>
                      <wpg:grpSp>
                        <wpg:cNvPr id="71" name="Group 20"/>
                        <wpg:cNvGrpSpPr>
                          <a:grpSpLocks/>
                        </wpg:cNvGrpSpPr>
                        <wpg:grpSpPr bwMode="auto">
                          <a:xfrm>
                            <a:off x="2636" y="-785"/>
                            <a:ext cx="8549" cy="2"/>
                            <a:chOff x="2636" y="-785"/>
                            <a:chExt cx="8549" cy="2"/>
                          </a:xfrm>
                          <a:grpFill/>
                        </wpg:grpSpPr>
                        <wps:wsp>
                          <wps:cNvPr id="72" name="Freeform 21"/>
                          <wps:cNvSpPr>
                            <a:spLocks/>
                          </wps:cNvSpPr>
                          <wps:spPr bwMode="auto">
                            <a:xfrm>
                              <a:off x="2636" y="-785"/>
                              <a:ext cx="8549" cy="2"/>
                            </a:xfrm>
                            <a:custGeom>
                              <a:avLst/>
                              <a:gdLst>
                                <a:gd name="T0" fmla="+- 0 11186 2636"/>
                                <a:gd name="T1" fmla="*/ T0 w 8549"/>
                                <a:gd name="T2" fmla="+- 0 2636 2636"/>
                                <a:gd name="T3" fmla="*/ T2 w 8549"/>
                              </a:gdLst>
                              <a:ahLst/>
                              <a:cxnLst>
                                <a:cxn ang="0">
                                  <a:pos x="T1" y="0"/>
                                </a:cxn>
                                <a:cxn ang="0">
                                  <a:pos x="T3" y="0"/>
                                </a:cxn>
                              </a:cxnLst>
                              <a:rect l="0" t="0" r="r" b="b"/>
                              <a:pathLst>
                                <a:path w="8549">
                                  <a:moveTo>
                                    <a:pt x="8550" y="0"/>
                                  </a:moveTo>
                                  <a:lnTo>
                                    <a:pt x="0" y="0"/>
                                  </a:lnTo>
                                </a:path>
                              </a:pathLst>
                            </a:custGeom>
                            <a:grpFill/>
                            <a:ln w="12700">
                              <a:solidFill>
                                <a:srgbClr val="8EA9C1"/>
                              </a:solidFill>
                              <a:round/>
                              <a:headEnd/>
                              <a:tailEnd/>
                            </a:ln>
                            <a:extLst/>
                          </wps:spPr>
                          <wps:bodyPr rot="0" vert="horz" wrap="square" lIns="91440" tIns="45720" rIns="91440" bIns="45720" anchor="t" anchorCtr="0" upright="1">
                            <a:noAutofit/>
                          </wps:bodyPr>
                        </wps:wsp>
                      </wpg:grpSp>
                      <wpg:grpSp>
                        <wpg:cNvPr id="73" name="Group 18"/>
                        <wpg:cNvGrpSpPr>
                          <a:grpSpLocks/>
                        </wpg:cNvGrpSpPr>
                        <wpg:grpSpPr bwMode="auto">
                          <a:xfrm>
                            <a:off x="2636" y="-775"/>
                            <a:ext cx="5745" cy="472"/>
                            <a:chOff x="2636" y="-775"/>
                            <a:chExt cx="5745" cy="472"/>
                          </a:xfrm>
                          <a:grpFill/>
                        </wpg:grpSpPr>
                        <wps:wsp>
                          <wps:cNvPr id="74" name="Freeform 19"/>
                          <wps:cNvSpPr>
                            <a:spLocks/>
                          </wps:cNvSpPr>
                          <wps:spPr bwMode="auto">
                            <a:xfrm>
                              <a:off x="2636" y="-775"/>
                              <a:ext cx="5745" cy="472"/>
                            </a:xfrm>
                            <a:custGeom>
                              <a:avLst/>
                              <a:gdLst>
                                <a:gd name="T0" fmla="+- 0 2636 2636"/>
                                <a:gd name="T1" fmla="*/ T0 w 1828"/>
                                <a:gd name="T2" fmla="+- 0 -303 -775"/>
                                <a:gd name="T3" fmla="*/ -303 h 472"/>
                                <a:gd name="T4" fmla="+- 0 4465 2636"/>
                                <a:gd name="T5" fmla="*/ T4 w 1828"/>
                                <a:gd name="T6" fmla="+- 0 -303 -775"/>
                                <a:gd name="T7" fmla="*/ -303 h 472"/>
                                <a:gd name="T8" fmla="+- 0 4465 2636"/>
                                <a:gd name="T9" fmla="*/ T8 w 1828"/>
                                <a:gd name="T10" fmla="+- 0 -775 -775"/>
                                <a:gd name="T11" fmla="*/ -775 h 472"/>
                                <a:gd name="T12" fmla="+- 0 2636 2636"/>
                                <a:gd name="T13" fmla="*/ T12 w 1828"/>
                                <a:gd name="T14" fmla="+- 0 -775 -775"/>
                                <a:gd name="T15" fmla="*/ -775 h 472"/>
                                <a:gd name="T16" fmla="+- 0 2636 2636"/>
                                <a:gd name="T17" fmla="*/ T16 w 1828"/>
                                <a:gd name="T18" fmla="+- 0 -303 -775"/>
                                <a:gd name="T19" fmla="*/ -303 h 472"/>
                              </a:gdLst>
                              <a:ahLst/>
                              <a:cxnLst>
                                <a:cxn ang="0">
                                  <a:pos x="T1" y="T3"/>
                                </a:cxn>
                                <a:cxn ang="0">
                                  <a:pos x="T5" y="T7"/>
                                </a:cxn>
                                <a:cxn ang="0">
                                  <a:pos x="T9" y="T11"/>
                                </a:cxn>
                                <a:cxn ang="0">
                                  <a:pos x="T13" y="T15"/>
                                </a:cxn>
                                <a:cxn ang="0">
                                  <a:pos x="T17" y="T19"/>
                                </a:cxn>
                              </a:cxnLst>
                              <a:rect l="0" t="0" r="r" b="b"/>
                              <a:pathLst>
                                <a:path w="1828" h="472">
                                  <a:moveTo>
                                    <a:pt x="0" y="472"/>
                                  </a:moveTo>
                                  <a:lnTo>
                                    <a:pt x="1829" y="472"/>
                                  </a:lnTo>
                                  <a:lnTo>
                                    <a:pt x="1829" y="0"/>
                                  </a:lnTo>
                                  <a:lnTo>
                                    <a:pt x="0" y="0"/>
                                  </a:lnTo>
                                  <a:lnTo>
                                    <a:pt x="0" y="472"/>
                                  </a:lnTo>
                                </a:path>
                              </a:pathLst>
                            </a:custGeom>
                            <a:solidFill>
                              <a:srgbClr val="1E7FB8"/>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064BA27" w14:textId="77777777" w:rsidR="00E7364D" w:rsidRPr="00A5619A" w:rsidRDefault="00E7364D" w:rsidP="00E7364D">
                                <w:pPr>
                                  <w:pStyle w:val="Heading1"/>
                                  <w:spacing w:after="800"/>
                                  <w:jc w:val="left"/>
                                  <w:rPr>
                                    <w:lang w:val="fr-FR"/>
                                  </w:rPr>
                                </w:pPr>
                                <w:r>
                                  <w:rPr>
                                    <w:b/>
                                    <w:bCs/>
                                    <w:lang w:val="fr"/>
                                  </w:rPr>
                                  <w:t>Recommandations à l’intention du Secrétariat de l’OMS</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_x0000_s1041" style="position:absolute;left:0;text-align:left;margin-left:132pt;margin-top:1.55pt;width:427.45pt;height:24.1pt;z-index:-251648512;mso-position-horizontal-relative:page" coordorigin="2636,-785" coordsize="8549,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">
                <v:group id="Group 20" o:spid="_x0000_s1042" style="position:absolute;left:2636;top:-785;width:8549;height:2" coordorigin="2636,-785" coordsize="85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 id="Freeform 21" o:spid="_x0000_s1043" style="position:absolute;left:2636;top:-785;width:8549;height:2;visibility:visible;mso-wrap-style:square;v-text-anchor:top" coordsize="85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3S8IA&#10;AADbAAAADwAAAGRycy9kb3ducmV2LnhtbESPzWoCQRCE74LvMLSQm87GgMrGUUQT0aM/mGuz0+4u&#10;2e5ZZia6eXtHCORYVNVX1HzZcaNu5EPtxMDrKANFUjhbS2ngfPoczkCFiGKxcUIGfinActHvzTG3&#10;7i4Huh1jqRJEQo4GqhjbXOtQVMQYRq4lSd7VecaYpC+19XhPcG70OMsmmrGWtFBhS+uKiu/jDxv4&#10;4O1+i/XuullF9hl3b5dCvox5GXSrd1CRuvgf/mvvrIHpGJ5f0g/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z/dLwgAAANsAAAAPAAAAAAAAAAAAAAAAAJgCAABkcnMvZG93&#10;bnJldi54bWxQSwUGAAAAAAQABAD1AAAAhwMAAAAA&#10;" path="m8550,l,e" filled="f" strokecolor="#8ea9c1" strokeweight="1pt">
                    <v:path arrowok="t" o:connecttype="custom" o:connectlocs="8550,0;0,0" o:connectangles="0,0"/>
                  </v:shape>
                </v:group>
                <v:group id="Group 18" o:spid="_x0000_s1044" style="position:absolute;left:2636;top:-775;width:5745;height:472" coordorigin="2636,-775" coordsize="5745,4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shape id="Freeform 19" o:spid="_x0000_s1045" style="position:absolute;left:2636;top:-775;width:5745;height:472;visibility:visible;mso-wrap-style:square;v-text-anchor:top" coordsize="1828,4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iiacUA&#10;AADbAAAADwAAAGRycy9kb3ducmV2LnhtbESPX0vDQBDE3wt+h2MFX0p7UYq2sdciguJTwVr6523J&#10;rUno3V7IrUn89j1B6OMwM79hluvBO9VRG+vABu6nGSjiItiaSwO7r7fJHFQUZIsuMBn4pQjr1c1o&#10;ibkNPX9St5VSJQjHHA1UIk2udSwq8hinoSFO3ndoPUqSbalti32Ce6cfsuxRe6w5LVTY0GtFxXn7&#10;4w0cx7PD/LyQ/rDZv59q15WiXW/M3e3w8gxKaJBr+L/9YQ08zeDvS/oBenU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SKJpxQAAANsAAAAPAAAAAAAAAAAAAAAAAJgCAABkcnMv&#10;ZG93bnJldi54bWxQSwUGAAAAAAQABAD1AAAAigMAAAAA&#10;" adj="-11796480,,5400" path="m,472r1829,l1829,,,,,472e" fillcolor="#1e7fb8" stroked="f">
                    <v:stroke joinstyle="round"/>
                    <v:formulas/>
                    <v:path arrowok="t" o:connecttype="custom" o:connectlocs="0,-303;5748,-303;5748,-775;0,-775;0,-303" o:connectangles="0,0,0,0,0" textboxrect="0,0,1828,472"/>
                    <v:textbox>
                      <w:txbxContent>
                        <w:p w14:paraId="7064BA27" w14:textId="77777777" w:rsidR="00E7364D" w:rsidRPr="00A5619A" w:rsidRDefault="00E7364D" w:rsidP="00E7364D">
                          <w:pPr>
                            <w:pStyle w:val="Heading1"/>
                            <w:spacing w:after="800"/>
                            <w:jc w:val="left"/>
                            <w:rPr>
                              <w:lang w:val="fr-FR"/>
                            </w:rPr>
                          </w:pPr>
                          <w:r>
                            <w:rPr>
                              <w:b/>
                              <w:bCs/>
                              <w:lang w:val="fr"/>
                            </w:rPr>
                            <w:t>Recommandations à l’intention du Secrétariat de l’OMS</w:t>
                          </w:r>
                        </w:p>
                      </w:txbxContent>
                    </v:textbox>
                  </v:shape>
                </v:group>
                <w10:wrap anchorx="page"/>
              </v:group>
            </w:pict>
          </mc:Fallback>
        </mc:AlternateContent>
      </w:r>
    </w:p>
    <w:p w14:paraId="7064B9D2" w14:textId="77777777" w:rsidR="00207E49" w:rsidRPr="00A5619A" w:rsidRDefault="00207E49" w:rsidP="009E1795">
      <w:pPr>
        <w:spacing w:after="0" w:line="200" w:lineRule="exact"/>
        <w:ind w:right="104"/>
        <w:jc w:val="both"/>
        <w:rPr>
          <w:sz w:val="20"/>
          <w:szCs w:val="20"/>
          <w:highlight w:val="yellow"/>
          <w:lang w:val="fr-FR"/>
        </w:rPr>
      </w:pPr>
    </w:p>
    <w:p w14:paraId="7064B9D3" w14:textId="77777777" w:rsidR="00207E49" w:rsidRPr="00A5619A" w:rsidRDefault="00207E49" w:rsidP="009E1795">
      <w:pPr>
        <w:spacing w:after="0" w:line="200" w:lineRule="exact"/>
        <w:ind w:right="104"/>
        <w:jc w:val="both"/>
        <w:rPr>
          <w:sz w:val="20"/>
          <w:szCs w:val="20"/>
          <w:highlight w:val="yellow"/>
          <w:lang w:val="fr-FR"/>
        </w:rPr>
      </w:pPr>
    </w:p>
    <w:p w14:paraId="7064B9D4" w14:textId="77777777" w:rsidR="00207E49" w:rsidRPr="008C1DE5" w:rsidRDefault="00207E49" w:rsidP="009E1795">
      <w:pPr>
        <w:spacing w:before="1" w:after="0" w:line="200" w:lineRule="exact"/>
        <w:ind w:left="992" w:right="104"/>
        <w:jc w:val="both"/>
        <w:rPr>
          <w:sz w:val="20"/>
          <w:szCs w:val="20"/>
          <w:lang w:val="fr-FR"/>
        </w:rPr>
      </w:pPr>
    </w:p>
    <w:p w14:paraId="01FE0672" w14:textId="527E7532" w:rsidR="00A90C0A" w:rsidRPr="008C1DE5" w:rsidRDefault="00A90C0A" w:rsidP="00310E6F">
      <w:pPr>
        <w:pStyle w:val="ListParagraph"/>
        <w:numPr>
          <w:ilvl w:val="0"/>
          <w:numId w:val="15"/>
        </w:numPr>
        <w:tabs>
          <w:tab w:val="left" w:pos="8460"/>
        </w:tabs>
        <w:spacing w:after="120"/>
        <w:ind w:left="1858" w:right="778"/>
        <w:contextualSpacing w:val="0"/>
        <w:jc w:val="both"/>
        <w:rPr>
          <w:lang w:val="fr-FR"/>
        </w:rPr>
      </w:pPr>
      <w:r w:rsidRPr="008C1DE5">
        <w:rPr>
          <w:lang w:val="fr"/>
        </w:rPr>
        <w:t xml:space="preserve">Continuer de fournir un appui technique, financier et opérationnel en vue de la </w:t>
      </w:r>
      <w:r w:rsidR="00B17F22" w:rsidRPr="008C1DE5">
        <w:rPr>
          <w:lang w:val="fr"/>
        </w:rPr>
        <w:t>mise en œuvre</w:t>
      </w:r>
      <w:r w:rsidRPr="008C1DE5">
        <w:rPr>
          <w:lang w:val="fr"/>
        </w:rPr>
        <w:t xml:space="preserve"> et de la concrétisation des principales capacités requises au titre du RSI aux niveaux national et sous-régional, en particulier dans le cadre de la SMEAP</w:t>
      </w:r>
      <w:r w:rsidR="00E01ED6" w:rsidRPr="008C1DE5">
        <w:rPr>
          <w:lang w:val="fr"/>
        </w:rPr>
        <w:t> </w:t>
      </w:r>
      <w:r w:rsidRPr="008C1DE5">
        <w:rPr>
          <w:lang w:val="fr"/>
        </w:rPr>
        <w:t xml:space="preserve">III, conformément à la nouvelle stratégie mondiale visant à améliorer la préparation et l’intervention en cas d’urgence de santé publique. </w:t>
      </w:r>
    </w:p>
    <w:p w14:paraId="588F7374" w14:textId="344088C4" w:rsidR="00126EC5" w:rsidRPr="008C1DE5" w:rsidRDefault="00126EC5" w:rsidP="00310E6F">
      <w:pPr>
        <w:pStyle w:val="ListParagraph"/>
        <w:numPr>
          <w:ilvl w:val="0"/>
          <w:numId w:val="15"/>
        </w:numPr>
        <w:tabs>
          <w:tab w:val="left" w:pos="8460"/>
        </w:tabs>
        <w:spacing w:after="120"/>
        <w:ind w:left="1858" w:right="778"/>
        <w:contextualSpacing w:val="0"/>
        <w:jc w:val="both"/>
        <w:rPr>
          <w:lang w:val="fr-FR"/>
        </w:rPr>
      </w:pPr>
      <w:r w:rsidRPr="008C1DE5">
        <w:rPr>
          <w:lang w:val="fr"/>
        </w:rPr>
        <w:t xml:space="preserve">Continuer activement de coordonner l’engagement en matière de sécurité sanitaire par le biais des mécanismes et partenariats existants, afin d’assurer un engagement et une coordination appropriés avec les partenaires, de réduire les doubles emplois et d’assurer la collaboration aux niveaux national et </w:t>
      </w:r>
      <w:proofErr w:type="spellStart"/>
      <w:r w:rsidRPr="008C1DE5">
        <w:rPr>
          <w:lang w:val="fr"/>
        </w:rPr>
        <w:t>sous-régional</w:t>
      </w:r>
      <w:proofErr w:type="spellEnd"/>
      <w:r w:rsidRPr="008C1DE5">
        <w:rPr>
          <w:lang w:val="fr"/>
        </w:rPr>
        <w:t>.</w:t>
      </w:r>
    </w:p>
    <w:p w14:paraId="71C48169" w14:textId="18C5B5D3" w:rsidR="00B51A45" w:rsidRPr="008C1DE5" w:rsidRDefault="00B51A45" w:rsidP="00310E6F">
      <w:pPr>
        <w:pStyle w:val="ListParagraph"/>
        <w:numPr>
          <w:ilvl w:val="0"/>
          <w:numId w:val="15"/>
        </w:numPr>
        <w:tabs>
          <w:tab w:val="left" w:pos="8460"/>
        </w:tabs>
        <w:spacing w:after="120"/>
        <w:ind w:left="1858" w:right="778"/>
        <w:contextualSpacing w:val="0"/>
        <w:jc w:val="both"/>
        <w:rPr>
          <w:lang w:val="fr-FR"/>
        </w:rPr>
      </w:pPr>
      <w:r w:rsidRPr="008C1DE5">
        <w:rPr>
          <w:lang w:val="fr"/>
        </w:rPr>
        <w:t>Continuer d’appuyer le développement et le suivi des principales capacités requises au titre du RSI, y compris la fourniture d’un soutien pour la réalisation des rapports annuels des États parties, des bilans post-intervention, des exercices de simulation et de l’évaluation conjointe.</w:t>
      </w:r>
    </w:p>
    <w:p w14:paraId="1AA5911B" w14:textId="6242F782" w:rsidR="00B51A45" w:rsidRPr="008C1DE5" w:rsidRDefault="00B51A45" w:rsidP="00310E6F">
      <w:pPr>
        <w:pStyle w:val="ListParagraph"/>
        <w:numPr>
          <w:ilvl w:val="0"/>
          <w:numId w:val="15"/>
        </w:numPr>
        <w:tabs>
          <w:tab w:val="left" w:pos="8460"/>
        </w:tabs>
        <w:spacing w:after="120"/>
        <w:ind w:left="1858" w:right="778"/>
        <w:contextualSpacing w:val="0"/>
        <w:jc w:val="both"/>
        <w:rPr>
          <w:lang w:val="fr-FR"/>
        </w:rPr>
      </w:pPr>
      <w:r w:rsidRPr="008C1DE5">
        <w:rPr>
          <w:lang w:val="fr"/>
        </w:rPr>
        <w:t xml:space="preserve">Continuer d’appuyer l’élaboration et la </w:t>
      </w:r>
      <w:r w:rsidR="00B17F22" w:rsidRPr="008C1DE5">
        <w:rPr>
          <w:lang w:val="fr"/>
        </w:rPr>
        <w:t>mise en œuvre</w:t>
      </w:r>
      <w:r w:rsidRPr="008C1DE5">
        <w:rPr>
          <w:lang w:val="fr"/>
        </w:rPr>
        <w:t xml:space="preserve"> de plans de préparation et d’intervention englobant tous les risques dans les pays insulaires du Pacifique. </w:t>
      </w:r>
    </w:p>
    <w:p w14:paraId="7064B9E5" w14:textId="2F3CF100" w:rsidR="00917BA0" w:rsidRPr="008C1DE5" w:rsidRDefault="00B51A45" w:rsidP="00310E6F">
      <w:pPr>
        <w:pStyle w:val="ListParagraph"/>
        <w:numPr>
          <w:ilvl w:val="0"/>
          <w:numId w:val="15"/>
        </w:numPr>
        <w:tabs>
          <w:tab w:val="left" w:pos="8460"/>
        </w:tabs>
        <w:spacing w:after="120"/>
        <w:ind w:left="1858" w:right="778"/>
        <w:contextualSpacing w:val="0"/>
        <w:jc w:val="both"/>
        <w:rPr>
          <w:lang w:val="fr-FR"/>
        </w:rPr>
      </w:pPr>
      <w:r w:rsidRPr="008C1DE5">
        <w:rPr>
          <w:lang w:val="fr"/>
        </w:rPr>
        <w:t>Fournir un appui d’urgence à la coordination du secteur de la santé et à la gestion de l’information dans les situations d’urgence en déployant du personnel technique (c’est-à-dire un coordinateur des groupes de responsabilité sectorielle santé et/ou un responsable de la gestion de l’information).</w:t>
      </w:r>
    </w:p>
    <w:p w14:paraId="25D905B0" w14:textId="0BBA5C3F" w:rsidR="00B51A45" w:rsidRPr="008C1DE5" w:rsidRDefault="00B51A45" w:rsidP="00310E6F">
      <w:pPr>
        <w:pStyle w:val="ListParagraph"/>
        <w:numPr>
          <w:ilvl w:val="0"/>
          <w:numId w:val="15"/>
        </w:numPr>
        <w:tabs>
          <w:tab w:val="left" w:pos="8460"/>
        </w:tabs>
        <w:spacing w:after="120"/>
        <w:ind w:left="1858" w:right="778"/>
        <w:contextualSpacing w:val="0"/>
        <w:jc w:val="both"/>
        <w:rPr>
          <w:lang w:val="fr-FR"/>
        </w:rPr>
      </w:pPr>
      <w:r w:rsidRPr="008C1DE5">
        <w:rPr>
          <w:lang w:val="fr"/>
        </w:rPr>
        <w:t xml:space="preserve">Appuyer la mise en place d’équipes médicales d’urgence nationales dans les pays insulaires du Pacifique, à la demande des </w:t>
      </w:r>
      <w:r w:rsidR="00A5619A" w:rsidRPr="008C1DE5">
        <w:rPr>
          <w:lang w:val="fr"/>
        </w:rPr>
        <w:t>États Membres</w:t>
      </w:r>
      <w:r w:rsidRPr="008C1DE5">
        <w:rPr>
          <w:lang w:val="fr"/>
        </w:rPr>
        <w:t xml:space="preserve">, et soutenir le déploiement rapide et rationnel d’équipes médicales d’urgence internationales à la demande des pays insulaires du Pacifique. </w:t>
      </w:r>
    </w:p>
    <w:p w14:paraId="11BC0888" w14:textId="6EB0B326" w:rsidR="00B51A45" w:rsidRPr="008C1DE5" w:rsidRDefault="00B51A45" w:rsidP="00310E6F">
      <w:pPr>
        <w:pStyle w:val="ListParagraph"/>
        <w:numPr>
          <w:ilvl w:val="0"/>
          <w:numId w:val="15"/>
        </w:numPr>
        <w:tabs>
          <w:tab w:val="left" w:pos="8460"/>
        </w:tabs>
        <w:spacing w:after="120"/>
        <w:ind w:left="1858" w:right="778"/>
        <w:contextualSpacing w:val="0"/>
        <w:jc w:val="both"/>
        <w:rPr>
          <w:lang w:val="fr-FR"/>
        </w:rPr>
      </w:pPr>
      <w:r w:rsidRPr="008C1DE5">
        <w:rPr>
          <w:lang w:val="fr"/>
        </w:rPr>
        <w:t xml:space="preserve">Renforcer la compréhension du GOARN et la participation à ce réseau dans le Pacifique en sensibilisant les ministères de la Santé et les bureaux de l’OMS dans les pays du Pacifique. </w:t>
      </w:r>
    </w:p>
    <w:p w14:paraId="75A009D7" w14:textId="539ECDB2" w:rsidR="00B51A45" w:rsidRPr="008C1DE5" w:rsidRDefault="00BE1C6A" w:rsidP="00310E6F">
      <w:pPr>
        <w:pStyle w:val="ListParagraph"/>
        <w:numPr>
          <w:ilvl w:val="0"/>
          <w:numId w:val="15"/>
        </w:numPr>
        <w:tabs>
          <w:tab w:val="left" w:pos="8460"/>
        </w:tabs>
        <w:spacing w:after="120"/>
        <w:ind w:left="1858" w:right="778"/>
        <w:contextualSpacing w:val="0"/>
        <w:jc w:val="both"/>
        <w:rPr>
          <w:lang w:val="fr-FR"/>
        </w:rPr>
      </w:pPr>
      <w:r w:rsidRPr="008C1DE5">
        <w:rPr>
          <w:lang w:val="fr"/>
        </w:rPr>
        <w:lastRenderedPageBreak/>
        <w:t xml:space="preserve">Accroître les capacités d’intervention du GOARN à l’échelle mondiale en incluant des experts en santé publique issus des pays insulaires du Pacifique dans les activités de formation du GOARN. </w:t>
      </w:r>
    </w:p>
    <w:p w14:paraId="17A68567" w14:textId="32343D7B" w:rsidR="00B51A45" w:rsidRPr="008C1DE5" w:rsidRDefault="00B51A45" w:rsidP="00310E6F">
      <w:pPr>
        <w:pStyle w:val="ListParagraph"/>
        <w:numPr>
          <w:ilvl w:val="0"/>
          <w:numId w:val="15"/>
        </w:numPr>
        <w:tabs>
          <w:tab w:val="left" w:pos="8460"/>
        </w:tabs>
        <w:spacing w:after="120"/>
        <w:ind w:left="1858" w:right="778"/>
        <w:contextualSpacing w:val="0"/>
        <w:jc w:val="both"/>
        <w:rPr>
          <w:lang w:val="fr-FR"/>
        </w:rPr>
      </w:pPr>
      <w:r w:rsidRPr="008C1DE5">
        <w:rPr>
          <w:lang w:val="fr"/>
        </w:rPr>
        <w:t xml:space="preserve">Créer une « boîte à outils d’intervention opérationnelle » pour les pays insulaires du Pacifique – regroupant les documents et les outils clés sur un site d’accès facile – et offrir régulièrement une formation sur l’utilisation des outils/ressources </w:t>
      </w:r>
      <w:proofErr w:type="gramStart"/>
      <w:r w:rsidRPr="008C1DE5">
        <w:rPr>
          <w:lang w:val="fr"/>
        </w:rPr>
        <w:t>d’intervention appropriés</w:t>
      </w:r>
      <w:proofErr w:type="gramEnd"/>
      <w:r w:rsidRPr="008C1DE5">
        <w:rPr>
          <w:lang w:val="fr"/>
        </w:rPr>
        <w:t xml:space="preserve"> en cas de flambée ou d’urgence. </w:t>
      </w:r>
    </w:p>
    <w:p w14:paraId="483908A6" w14:textId="027E44EB" w:rsidR="00B51A45" w:rsidRPr="008C1DE5" w:rsidRDefault="00B51A45" w:rsidP="00310E6F">
      <w:pPr>
        <w:pStyle w:val="ListParagraph"/>
        <w:numPr>
          <w:ilvl w:val="0"/>
          <w:numId w:val="15"/>
        </w:numPr>
        <w:tabs>
          <w:tab w:val="left" w:pos="8460"/>
        </w:tabs>
        <w:spacing w:after="120"/>
        <w:ind w:left="1858" w:right="778"/>
        <w:contextualSpacing w:val="0"/>
        <w:jc w:val="both"/>
        <w:rPr>
          <w:lang w:val="fr-FR"/>
        </w:rPr>
      </w:pPr>
      <w:r w:rsidRPr="008C1DE5">
        <w:rPr>
          <w:lang w:val="fr"/>
        </w:rPr>
        <w:t xml:space="preserve">Améliorer les connaissances sur les mécanismes mondiaux et régionaux régissant les stocks de médicaments, d’équipements et de fournitures, ainsi que la participation à ces mécanismes. </w:t>
      </w:r>
    </w:p>
    <w:p w14:paraId="100FD3CF" w14:textId="2AC790F1" w:rsidR="00B51A45" w:rsidRPr="008C1DE5" w:rsidRDefault="00B51A45" w:rsidP="00310E6F">
      <w:pPr>
        <w:pStyle w:val="ListParagraph"/>
        <w:numPr>
          <w:ilvl w:val="0"/>
          <w:numId w:val="15"/>
        </w:numPr>
        <w:tabs>
          <w:tab w:val="left" w:pos="8460"/>
        </w:tabs>
        <w:spacing w:after="120"/>
        <w:ind w:left="1858" w:right="778"/>
        <w:contextualSpacing w:val="0"/>
        <w:jc w:val="both"/>
        <w:rPr>
          <w:lang w:val="fr-FR"/>
        </w:rPr>
      </w:pPr>
      <w:r w:rsidRPr="008C1DE5">
        <w:rPr>
          <w:lang w:val="fr"/>
        </w:rPr>
        <w:t xml:space="preserve">Aider les </w:t>
      </w:r>
      <w:r w:rsidR="00A5619A" w:rsidRPr="008C1DE5">
        <w:rPr>
          <w:lang w:val="fr"/>
        </w:rPr>
        <w:t>États Membres</w:t>
      </w:r>
      <w:r w:rsidRPr="008C1DE5">
        <w:rPr>
          <w:lang w:val="fr"/>
        </w:rPr>
        <w:t xml:space="preserve"> à analyser les dangers et la vulnérabilité, en particulier pour les principaux établissements de santé et les infrastructures sanitaires vitales.</w:t>
      </w:r>
    </w:p>
    <w:p w14:paraId="310A9052" w14:textId="1A05F63B" w:rsidR="00B51A45" w:rsidRPr="008C1DE5" w:rsidRDefault="00265F75" w:rsidP="00310E6F">
      <w:pPr>
        <w:pStyle w:val="ListParagraph"/>
        <w:numPr>
          <w:ilvl w:val="0"/>
          <w:numId w:val="15"/>
        </w:numPr>
        <w:tabs>
          <w:tab w:val="left" w:pos="8460"/>
        </w:tabs>
        <w:spacing w:after="120"/>
        <w:ind w:left="1858" w:right="778"/>
        <w:contextualSpacing w:val="0"/>
        <w:jc w:val="both"/>
        <w:rPr>
          <w:lang w:val="fr-FR"/>
        </w:rPr>
      </w:pPr>
      <w:r w:rsidRPr="008C1DE5">
        <w:rPr>
          <w:lang w:val="fr"/>
        </w:rPr>
        <w:t xml:space="preserve">Adopter l’initiative « Hôpitaux sûrs et intelligents » dans le Pacifique, en reconnaissant les vulnérabilités uniques des infrastructures et systèmes de santé clés de la sous-région. Après les catastrophes, veiller à ce que l’aide aux </w:t>
      </w:r>
      <w:r w:rsidR="00A5619A" w:rsidRPr="008C1DE5">
        <w:rPr>
          <w:lang w:val="fr"/>
        </w:rPr>
        <w:t>États Membres</w:t>
      </w:r>
      <w:r w:rsidRPr="008C1DE5">
        <w:rPr>
          <w:lang w:val="fr"/>
        </w:rPr>
        <w:t xml:space="preserve"> applique le principe « reconstruire mieux » dans le cadre des interventions d’urgence et des efforts de relèvement. </w:t>
      </w:r>
    </w:p>
    <w:p w14:paraId="7064B9EB" w14:textId="3637B5C1" w:rsidR="00C44951" w:rsidRPr="008C1DE5" w:rsidRDefault="00B51A45" w:rsidP="00310E6F">
      <w:pPr>
        <w:pStyle w:val="ListParagraph"/>
        <w:numPr>
          <w:ilvl w:val="0"/>
          <w:numId w:val="15"/>
        </w:numPr>
        <w:tabs>
          <w:tab w:val="left" w:pos="8460"/>
        </w:tabs>
        <w:spacing w:after="120"/>
        <w:ind w:left="1858" w:right="778"/>
        <w:contextualSpacing w:val="0"/>
        <w:jc w:val="both"/>
        <w:rPr>
          <w:lang w:val="fr-FR"/>
        </w:rPr>
      </w:pPr>
      <w:r w:rsidRPr="008C1DE5">
        <w:rPr>
          <w:lang w:val="fr"/>
        </w:rPr>
        <w:t xml:space="preserve">Soutenir l’action collective régionale en faveur de la sécurité sanitaire, y compris l’accès aux principales capacités requises au titre du RSI en fournissant un soutien technique, humain, opérationnel et financier, conformément au mécanisme de coordination du PaHSeC. </w:t>
      </w:r>
      <w:bookmarkStart w:id="0" w:name="_GoBack"/>
      <w:bookmarkEnd w:id="0"/>
    </w:p>
    <w:sectPr w:rsidR="00C44951" w:rsidRPr="008C1DE5" w:rsidSect="005375CD">
      <w:headerReference w:type="even" r:id="rId13"/>
      <w:headerReference w:type="default" r:id="rId14"/>
      <w:footerReference w:type="even" r:id="rId15"/>
      <w:footerReference w:type="default" r:id="rId16"/>
      <w:headerReference w:type="first" r:id="rId17"/>
      <w:footerReference w:type="first" r:id="rId18"/>
      <w:pgSz w:w="11920" w:h="16840"/>
      <w:pgMar w:top="1358" w:right="1005" w:bottom="561" w:left="1678" w:header="0" w:footer="380" w:gutter="0"/>
      <w:pgNumType w:start="4"/>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C5E3C7" w14:textId="77777777" w:rsidR="00A93040" w:rsidRDefault="00A93040">
      <w:pPr>
        <w:spacing w:after="0"/>
      </w:pPr>
      <w:r>
        <w:separator/>
      </w:r>
    </w:p>
  </w:endnote>
  <w:endnote w:type="continuationSeparator" w:id="0">
    <w:p w14:paraId="54BC96BC" w14:textId="77777777" w:rsidR="00A93040" w:rsidRDefault="00A930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yriad Pro">
    <w:altName w:val="Arial"/>
    <w:panose1 w:val="00000000000000000000"/>
    <w:charset w:val="00"/>
    <w:family w:val="swiss"/>
    <w:notTrueType/>
    <w:pitch w:val="variable"/>
    <w:sig w:usb0="2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ook w:val="04A0" w:firstRow="1" w:lastRow="0" w:firstColumn="1" w:lastColumn="0" w:noHBand="0" w:noVBand="1"/>
    </w:tblPr>
    <w:tblGrid>
      <w:gridCol w:w="6383"/>
      <w:gridCol w:w="1026"/>
    </w:tblGrid>
    <w:tr w:rsidR="00C44951" w14:paraId="7064BA07" w14:textId="77777777">
      <w:trPr>
        <w:jc w:val="right"/>
      </w:trPr>
      <w:tc>
        <w:tcPr>
          <w:tcW w:w="0" w:type="auto"/>
        </w:tcPr>
        <w:p w14:paraId="7064BA05" w14:textId="622E72F3" w:rsidR="00C44951" w:rsidRPr="00A5619A" w:rsidRDefault="005375CD" w:rsidP="00C44951">
          <w:pPr>
            <w:pStyle w:val="Footer"/>
            <w:jc w:val="right"/>
            <w:rPr>
              <w:lang w:val="fr-FR"/>
            </w:rPr>
          </w:pPr>
          <w:sdt>
            <w:sdtPr>
              <w:rPr>
                <w:lang w:val="fr-FR"/>
              </w:rPr>
              <w:alias w:val="Company"/>
              <w:id w:val="1883750073"/>
              <w:placeholder>
                <w:docPart w:val="0E01EE1BC4E44205A5FBB5586299096F"/>
              </w:placeholder>
              <w:dataBinding w:prefixMappings="xmlns:ns0='http://schemas.openxmlformats.org/officeDocument/2006/extended-properties'" w:xpath="/ns0:Properties[1]/ns0:Company[1]" w:storeItemID="{6668398D-A668-4E3E-A5EB-62B293D839F1}"/>
              <w:text/>
            </w:sdtPr>
            <w:sdtEndPr/>
            <w:sdtContent>
              <w:r w:rsidR="00E01ED6" w:rsidRPr="00A5619A">
                <w:rPr>
                  <w:lang w:val="fr-FR"/>
                </w:rPr>
                <w:t>Organisation mondiale de la Santé</w:t>
              </w:r>
            </w:sdtContent>
          </w:sdt>
          <w:r w:rsidR="00964637">
            <w:rPr>
              <w:lang w:val="fr"/>
            </w:rPr>
            <w:t xml:space="preserve"> | Rapport sommaire de la réunion</w:t>
          </w:r>
        </w:p>
      </w:tc>
      <w:tc>
        <w:tcPr>
          <w:tcW w:w="0" w:type="auto"/>
        </w:tcPr>
        <w:p w14:paraId="7064BA06" w14:textId="77777777" w:rsidR="00C44951" w:rsidRDefault="00C44951">
          <w:pPr>
            <w:pStyle w:val="Footer"/>
            <w:jc w:val="right"/>
          </w:pPr>
          <w:r>
            <w:rPr>
              <w:noProof/>
            </w:rPr>
            <mc:AlternateContent>
              <mc:Choice Requires="wpg">
                <w:drawing>
                  <wp:inline distT="0" distB="0" distL="0" distR="0" wp14:anchorId="7064BA1C" wp14:editId="7064BA1D">
                    <wp:extent cx="495300" cy="481965"/>
                    <wp:effectExtent l="0" t="0" r="19050" b="13335"/>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flipV="1">
                              <a:off x="0" y="0"/>
                              <a:ext cx="495300" cy="481966"/>
                              <a:chOff x="8754" y="11945"/>
                              <a:chExt cx="2880" cy="2859"/>
                            </a:xfrm>
                          </wpg:grpSpPr>
                          <wps:wsp>
                            <wps:cNvPr id="23" name="Rectangle 23"/>
                            <wps:cNvSpPr>
                              <a:spLocks noChangeArrowheads="1"/>
                            </wps:cNvSpPr>
                            <wps:spPr bwMode="auto">
                              <a:xfrm flipH="1">
                                <a:off x="10194" y="11945"/>
                                <a:ext cx="1440" cy="1440"/>
                              </a:xfrm>
                              <a:prstGeom prst="rect">
                                <a:avLst/>
                              </a:prstGeom>
                              <a:solidFill>
                                <a:schemeClr val="bg1">
                                  <a:lumMod val="75000"/>
                                  <a:alpha val="50000"/>
                                </a:schemeClr>
                              </a:solidFill>
                              <a:ln w="12700">
                                <a:solidFill>
                                  <a:srgbClr val="FFFFFF"/>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24" name="Rectangle 24"/>
                            <wps:cNvSpPr>
                              <a:spLocks noChangeArrowheads="1"/>
                            </wps:cNvSpPr>
                            <wps:spPr bwMode="auto">
                              <a:xfrm flipH="1">
                                <a:off x="10194" y="13364"/>
                                <a:ext cx="1440" cy="1440"/>
                              </a:xfrm>
                              <a:prstGeom prst="rect">
                                <a:avLst/>
                              </a:prstGeom>
                              <a:solidFill>
                                <a:srgbClr val="1E7FB8"/>
                              </a:solidFill>
                              <a:ln w="12700">
                                <a:solidFill>
                                  <a:srgbClr val="FFFFFF"/>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25" name="Rectangle 25"/>
                            <wps:cNvSpPr>
                              <a:spLocks noChangeArrowheads="1"/>
                            </wps:cNvSpPr>
                            <wps:spPr bwMode="auto">
                              <a:xfrm flipH="1">
                                <a:off x="8754" y="13364"/>
                                <a:ext cx="1440" cy="1440"/>
                              </a:xfrm>
                              <a:prstGeom prst="rect">
                                <a:avLst/>
                              </a:prstGeom>
                              <a:solidFill>
                                <a:schemeClr val="bg1">
                                  <a:lumMod val="75000"/>
                                  <a:alpha val="50000"/>
                                </a:schemeClr>
                              </a:solidFill>
                              <a:ln w="12700">
                                <a:solidFill>
                                  <a:srgbClr val="FFFFFF"/>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22" o:spid="_x0000_s1026" style="width:39pt;height:37.95pt;flip:x y;mso-position-horizontal-relative:char;mso-position-vertical-relative:line" coordorigin="8754,11945" coordsize="2880,2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">
                    <v:rect id="Rectangle 23" o:spid="_x0000_s1027" style="position:absolute;left:10194;top:11945;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QnbcYA&#10;AADbAAAADwAAAGRycy9kb3ducmV2LnhtbESP3WrCQBSE7wt9h+UUvBHdmEqR1FWKP1CFFhoV8e6Q&#10;PU1Cs2dDdqPx7V1B6OUwM98w03lnKnGmxpWWFYyGEQjizOqScwX73XowAeE8ssbKMim4koP57Plp&#10;iom2F/6hc+pzESDsElRQeF8nUrqsIINuaGvi4P3axqAPssmlbvAS4KaScRS9SYMlh4UCa1oUlP2l&#10;rVHQxuPV4XTN+l95tNwefdqetptvpXov3cc7CE+d/w8/2p9aQfwK9y/hB8jZ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hQnbcYAAADbAAAADwAAAAAAAAAAAAAAAACYAgAAZHJz&#10;L2Rvd25yZXYueG1sUEsFBgAAAAAEAAQA9QAAAIsDAAAAAA==&#10;" fillcolor="#bfbfbf [2412]" strokecolor="white" strokeweight="1pt">
                      <v:fill opacity="32896f"/>
                      <v:shadow color="#d8d8d8" offset="3pt,3pt"/>
                    </v:rect>
                    <v:rect id="Rectangle 24" o:spid="_x0000_s1028" style="position:absolute;left:10194;top:1336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4z7sQA&#10;AADbAAAADwAAAGRycy9kb3ducmV2LnhtbESPQWvCQBSE74L/YXmCN90oopK6SiMIhfZSzcHeHtln&#10;Epp9G7Ovmv77bkHwOMzMN8xm17tG3agLtWcDs2kCirjwtubSQH46TNaggiBbbDyTgV8KsNsOBxtM&#10;rb/zJ92OUqoI4ZCigUqkTbUORUUOw9S3xNG7+M6hRNmV2nZ4j3DX6HmSLLXDmuNChS3tKyq+jz/O&#10;wOr6dfjI8lW+zM4SZq30l+Q9M2Y86l9fQAn18gw/2m/WwHwB/1/iD9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uM+7EAAAA2wAAAA8AAAAAAAAAAAAAAAAAmAIAAGRycy9k&#10;b3ducmV2LnhtbFBLBQYAAAAABAAEAPUAAACJAwAAAAA=&#10;" fillcolor="#1e7fb8" strokecolor="white" strokeweight="1pt">
                      <v:shadow color="#d8d8d8" offset="3pt,3pt"/>
                    </v:rect>
                    <v:rect id="Rectangle 25" o:spid="_x0000_s1029" style="position:absolute;left:8754;top:1336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EagsYA&#10;AADbAAAADwAAAGRycy9kb3ducmV2LnhtbESP3WrCQBSE7wt9h+UUvBHdGGqR1FWKP1CFFhoV8e6Q&#10;PU1Cs2dDdqPx7V1B6OUwM98w03lnKnGmxpWWFYyGEQjizOqScwX73XowAeE8ssbKMim4koP57Plp&#10;iom2F/6hc+pzESDsElRQeF8nUrqsIINuaGvi4P3axqAPssmlbvAS4KaScRS9SYMlh4UCa1oUlP2l&#10;rVHQxq+rw+ma9b/yaLk9+rQ9bTffSvVeuo93EJ46/x9+tD+1gngM9y/hB8jZ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rEagsYAAADbAAAADwAAAAAAAAAAAAAAAACYAgAAZHJz&#10;L2Rvd25yZXYueG1sUEsFBgAAAAAEAAQA9QAAAIsDAAAAAA==&#10;" fillcolor="#bfbfbf [2412]" strokecolor="white" strokeweight="1pt">
                      <v:fill opacity="32896f"/>
                      <v:shadow color="#d8d8d8" offset="3pt,3pt"/>
                    </v:rect>
                    <w10:anchorlock/>
                  </v:group>
                </w:pict>
              </mc:Fallback>
            </mc:AlternateContent>
          </w:r>
        </w:p>
      </w:tc>
    </w:tr>
  </w:tbl>
  <w:p w14:paraId="7064BA08" w14:textId="77777777" w:rsidR="00AE71C8" w:rsidRDefault="00AE71C8">
    <w:pPr>
      <w:spacing w:after="0" w:line="200" w:lineRule="exac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1026"/>
      <w:gridCol w:w="6383"/>
    </w:tblGrid>
    <w:tr w:rsidR="00C44951" w:rsidRPr="003A6051" w14:paraId="7064BA0B" w14:textId="77777777">
      <w:tc>
        <w:tcPr>
          <w:tcW w:w="0" w:type="auto"/>
        </w:tcPr>
        <w:p w14:paraId="7064BA09" w14:textId="77777777" w:rsidR="00C44951" w:rsidRDefault="00C44951">
          <w:pPr>
            <w:pStyle w:val="Footer"/>
          </w:pPr>
          <w:r>
            <w:rPr>
              <w:noProof/>
            </w:rPr>
            <mc:AlternateContent>
              <mc:Choice Requires="wpg">
                <w:drawing>
                  <wp:inline distT="0" distB="0" distL="0" distR="0" wp14:anchorId="7064BA1E" wp14:editId="7064BA1F">
                    <wp:extent cx="495300" cy="481965"/>
                    <wp:effectExtent l="0" t="0" r="19050" b="13335"/>
                    <wp:docPr id="446" name="Group 4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495300" cy="481966"/>
                              <a:chOff x="8754" y="11945"/>
                              <a:chExt cx="2880" cy="2859"/>
                            </a:xfrm>
                          </wpg:grpSpPr>
                          <wps:wsp>
                            <wps:cNvPr id="447" name="Rectangle 447"/>
                            <wps:cNvSpPr>
                              <a:spLocks noChangeArrowheads="1"/>
                            </wps:cNvSpPr>
                            <wps:spPr bwMode="auto">
                              <a:xfrm flipH="1">
                                <a:off x="10194" y="11945"/>
                                <a:ext cx="1440" cy="1440"/>
                              </a:xfrm>
                              <a:prstGeom prst="rect">
                                <a:avLst/>
                              </a:prstGeom>
                              <a:solidFill>
                                <a:schemeClr val="bg1">
                                  <a:lumMod val="75000"/>
                                  <a:alpha val="50000"/>
                                </a:schemeClr>
                              </a:solidFill>
                              <a:ln w="12700">
                                <a:solidFill>
                                  <a:srgbClr val="FFFFFF"/>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448" name="Rectangle 448"/>
                            <wps:cNvSpPr>
                              <a:spLocks noChangeArrowheads="1"/>
                            </wps:cNvSpPr>
                            <wps:spPr bwMode="auto">
                              <a:xfrm flipH="1">
                                <a:off x="10194" y="13364"/>
                                <a:ext cx="1440" cy="1440"/>
                              </a:xfrm>
                              <a:prstGeom prst="rect">
                                <a:avLst/>
                              </a:prstGeom>
                              <a:solidFill>
                                <a:srgbClr val="1E7FB8"/>
                              </a:solidFill>
                              <a:ln w="12700">
                                <a:solidFill>
                                  <a:srgbClr val="FFFFFF"/>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449" name="Rectangle 449"/>
                            <wps:cNvSpPr>
                              <a:spLocks noChangeArrowheads="1"/>
                            </wps:cNvSpPr>
                            <wps:spPr bwMode="auto">
                              <a:xfrm flipH="1">
                                <a:off x="8754" y="13364"/>
                                <a:ext cx="1440" cy="1440"/>
                              </a:xfrm>
                              <a:prstGeom prst="rect">
                                <a:avLst/>
                              </a:prstGeom>
                              <a:solidFill>
                                <a:schemeClr val="bg1">
                                  <a:lumMod val="75000"/>
                                  <a:alpha val="50000"/>
                                </a:schemeClr>
                              </a:solidFill>
                              <a:ln w="12700">
                                <a:solidFill>
                                  <a:srgbClr val="FFFFFF"/>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446" o:spid="_x0000_s1026" style="width:39pt;height:37.95pt;flip:y;mso-position-horizontal-relative:char;mso-position-vertical-relative:line" coordorigin="8754,11945" coordsize="2880,2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">
                    <v:rect id="Rectangle 447" o:spid="_x0000_s1027" style="position:absolute;left:10194;top:11945;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zPHMcA&#10;AADcAAAADwAAAGRycy9kb3ducmV2LnhtbESP3WrCQBSE74W+w3IK3kjdKEFL6iriD1hBoWlL8e6Q&#10;PU1Cs2dDdqPx7buC4OUwM98ws0VnKnGmxpWWFYyGEQjizOqScwVfn9uXVxDOI2usLJOCKzlYzJ96&#10;M0y0vfAHnVOfiwBhl6CCwvs6kdJlBRl0Q1sTB+/XNgZ9kE0udYOXADeVHEfRRBosOSwUWNOqoOwv&#10;bY2Cdhxvvk/XbHDIo/X+x6ftaf9+VKr/3C3fQHjq/CN8b++0gjiewu1MOAJy/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dszxzHAAAA3AAAAA8AAAAAAAAAAAAAAAAAmAIAAGRy&#10;cy9kb3ducmV2LnhtbFBLBQYAAAAABAAEAPUAAACMAwAAAAA=&#10;" fillcolor="#bfbfbf [2412]" strokecolor="white" strokeweight="1pt">
                      <v:fill opacity="32896f"/>
                      <v:shadow color="#d8d8d8" offset="3pt,3pt"/>
                    </v:rect>
                    <v:rect id="Rectangle 448" o:spid="_x0000_s1028" style="position:absolute;left:10194;top:1336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CuQ8IA&#10;AADcAAAADwAAAGRycy9kb3ducmV2LnhtbERPTWvCQBC9C/6HZQredGMRLdFNaApCwV60ObS3ITsm&#10;wexszE41/ffdQ8Hj433v8tF16kZDaD0bWC4SUMSVty3XBsrP/fwFVBBki51nMvBLAfJsOtlhav2d&#10;j3Q7Sa1iCIcUDTQifap1qBpyGBa+J47c2Q8OJcKh1nbAewx3nX5OkrV22HJsaLCnt4aqy+nHGdhc&#10;v/cfRbkp18WXhGUv4zk5FMbMnsbXLSihUR7if/e7NbBaxbXxTDwCO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kK5DwgAAANwAAAAPAAAAAAAAAAAAAAAAAJgCAABkcnMvZG93&#10;bnJldi54bWxQSwUGAAAAAAQABAD1AAAAhwMAAAAA&#10;" fillcolor="#1e7fb8" strokecolor="white" strokeweight="1pt">
                      <v:shadow color="#d8d8d8" offset="3pt,3pt"/>
                    </v:rect>
                    <v:rect id="Rectangle 449" o:spid="_x0000_s1029" style="position:absolute;left:8754;top:1336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9ccA&#10;AADcAAAADwAAAGRycy9kb3ducmV2LnhtbESP3WrCQBSE74W+w3IK3kjdKEFs6iriD1hBoWlL8e6Q&#10;PU1Cs2dDdqPx7buC4OUwM98ws0VnKnGmxpWWFYyGEQjizOqScwVfn9uXKQjnkTVWlknBlRws5k+9&#10;GSbaXviDzqnPRYCwS1BB4X2dSOmyggy6oa2Jg/drG4M+yCaXusFLgJtKjqNoIg2WHBYKrGlVUPaX&#10;tkZBO44336drNjjk0Xr/49P2tH8/KtV/7pZvIDx1/hG+t3daQRy/wu1MOAJy/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m//vXHAAAA3AAAAA8AAAAAAAAAAAAAAAAAmAIAAGRy&#10;cy9kb3ducmV2LnhtbFBLBQYAAAAABAAEAPUAAACMAwAAAAA=&#10;" fillcolor="#bfbfbf [2412]" strokecolor="white" strokeweight="1pt">
                      <v:fill opacity="32896f"/>
                      <v:shadow color="#d8d8d8" offset="3pt,3pt"/>
                    </v:rect>
                    <w10:anchorlock/>
                  </v:group>
                </w:pict>
              </mc:Fallback>
            </mc:AlternateContent>
          </w:r>
        </w:p>
      </w:tc>
      <w:tc>
        <w:tcPr>
          <w:tcW w:w="0" w:type="auto"/>
        </w:tcPr>
        <w:p w14:paraId="7064BA0A" w14:textId="3B659E6C" w:rsidR="00A90C0A" w:rsidRPr="00A5619A" w:rsidRDefault="005375CD" w:rsidP="00C44951">
          <w:pPr>
            <w:pStyle w:val="Footer"/>
            <w:rPr>
              <w:lang w:val="fr-FR"/>
            </w:rPr>
          </w:pPr>
          <w:sdt>
            <w:sdtPr>
              <w:rPr>
                <w:lang w:val="fr-FR"/>
              </w:rPr>
              <w:alias w:val="Company"/>
              <w:id w:val="76311665"/>
              <w:placeholder>
                <w:docPart w:val="4D7DB9D841B54AD58835E5CD9E9C90B6"/>
              </w:placeholder>
              <w:dataBinding w:prefixMappings="xmlns:ns0='http://schemas.openxmlformats.org/officeDocument/2006/extended-properties'" w:xpath="/ns0:Properties[1]/ns0:Company[1]" w:storeItemID="{6668398D-A668-4E3E-A5EB-62B293D839F1}"/>
              <w:text/>
            </w:sdtPr>
            <w:sdtEndPr/>
            <w:sdtContent>
              <w:r w:rsidR="00E01ED6" w:rsidRPr="00A5619A">
                <w:rPr>
                  <w:lang w:val="fr-FR"/>
                </w:rPr>
                <w:t>Organisation mondiale de la Santé</w:t>
              </w:r>
            </w:sdtContent>
          </w:sdt>
          <w:r w:rsidR="00964637">
            <w:rPr>
              <w:lang w:val="fr"/>
            </w:rPr>
            <w:t xml:space="preserve"> | Rapport sommaire de la réunion</w:t>
          </w:r>
        </w:p>
        <w:p w14:paraId="51238EA2" w14:textId="77777777" w:rsidR="00C44951" w:rsidRPr="00A5619A" w:rsidRDefault="00C44951" w:rsidP="00A90C0A">
          <w:pPr>
            <w:rPr>
              <w:lang w:val="fr-FR"/>
            </w:rPr>
          </w:pPr>
        </w:p>
      </w:tc>
    </w:tr>
  </w:tbl>
  <w:p w14:paraId="7064BA0C" w14:textId="77777777" w:rsidR="00C44951" w:rsidRPr="00A5619A" w:rsidRDefault="00C44951">
    <w:pPr>
      <w:pStyle w:val="Footer"/>
      <w:rPr>
        <w:lang w:val="fr-F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ook w:val="04A0" w:firstRow="1" w:lastRow="0" w:firstColumn="1" w:lastColumn="0" w:noHBand="0" w:noVBand="1"/>
    </w:tblPr>
    <w:tblGrid>
      <w:gridCol w:w="6383"/>
      <w:gridCol w:w="1026"/>
    </w:tblGrid>
    <w:tr w:rsidR="00C44951" w14:paraId="7064BA16" w14:textId="77777777">
      <w:trPr>
        <w:jc w:val="right"/>
      </w:trPr>
      <w:tc>
        <w:tcPr>
          <w:tcW w:w="0" w:type="auto"/>
        </w:tcPr>
        <w:p w14:paraId="7064BA14" w14:textId="1E4BB9AB" w:rsidR="00C44951" w:rsidRPr="00A5619A" w:rsidRDefault="005375CD" w:rsidP="00E01ED6">
          <w:pPr>
            <w:pStyle w:val="Footer"/>
            <w:jc w:val="right"/>
            <w:rPr>
              <w:lang w:val="fr-FR"/>
            </w:rPr>
          </w:pPr>
          <w:sdt>
            <w:sdtPr>
              <w:rPr>
                <w:lang w:val="fr-FR"/>
              </w:rPr>
              <w:alias w:val="Company"/>
              <w:id w:val="76335071"/>
              <w:placeholder>
                <w:docPart w:val="B775C89DDD6047E692338E2E63AE2040"/>
              </w:placeholder>
              <w:dataBinding w:prefixMappings="xmlns:ns0='http://schemas.openxmlformats.org/officeDocument/2006/extended-properties'" w:xpath="/ns0:Properties[1]/ns0:Company[1]" w:storeItemID="{6668398D-A668-4E3E-A5EB-62B293D839F1}"/>
              <w:text/>
            </w:sdtPr>
            <w:sdtEndPr/>
            <w:sdtContent>
              <w:r w:rsidR="00E01ED6" w:rsidRPr="00A5619A">
                <w:rPr>
                  <w:lang w:val="fr-FR"/>
                </w:rPr>
                <w:t>Organisation mondiale de la Santé</w:t>
              </w:r>
            </w:sdtContent>
          </w:sdt>
          <w:r w:rsidR="00964637">
            <w:rPr>
              <w:lang w:val="fr"/>
            </w:rPr>
            <w:t xml:space="preserve"> | Rapport sommaire de la réunion</w:t>
          </w:r>
        </w:p>
      </w:tc>
      <w:tc>
        <w:tcPr>
          <w:tcW w:w="0" w:type="auto"/>
        </w:tcPr>
        <w:p w14:paraId="7064BA15" w14:textId="77777777" w:rsidR="00C44951" w:rsidRDefault="00C44951">
          <w:pPr>
            <w:pStyle w:val="Footer"/>
            <w:jc w:val="right"/>
          </w:pPr>
          <w:r>
            <w:rPr>
              <w:noProof/>
            </w:rPr>
            <mc:AlternateContent>
              <mc:Choice Requires="wpg">
                <w:drawing>
                  <wp:inline distT="0" distB="0" distL="0" distR="0" wp14:anchorId="7064BA22" wp14:editId="7064BA23">
                    <wp:extent cx="495300" cy="481965"/>
                    <wp:effectExtent l="0" t="0" r="19050" b="13335"/>
                    <wp:docPr id="450" name="Group 4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flipV="1">
                              <a:off x="0" y="0"/>
                              <a:ext cx="495300" cy="481966"/>
                              <a:chOff x="8754" y="11945"/>
                              <a:chExt cx="2880" cy="2859"/>
                            </a:xfrm>
                          </wpg:grpSpPr>
                          <wps:wsp>
                            <wps:cNvPr id="451" name="Rectangle 451"/>
                            <wps:cNvSpPr>
                              <a:spLocks noChangeArrowheads="1"/>
                            </wps:cNvSpPr>
                            <wps:spPr bwMode="auto">
                              <a:xfrm flipH="1">
                                <a:off x="10194" y="11945"/>
                                <a:ext cx="1440" cy="1440"/>
                              </a:xfrm>
                              <a:prstGeom prst="rect">
                                <a:avLst/>
                              </a:prstGeom>
                              <a:solidFill>
                                <a:schemeClr val="bg1">
                                  <a:lumMod val="75000"/>
                                  <a:alpha val="50000"/>
                                </a:schemeClr>
                              </a:solidFill>
                              <a:ln w="12700">
                                <a:solidFill>
                                  <a:srgbClr val="FFFFFF"/>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452" name="Rectangle 452"/>
                            <wps:cNvSpPr>
                              <a:spLocks noChangeArrowheads="1"/>
                            </wps:cNvSpPr>
                            <wps:spPr bwMode="auto">
                              <a:xfrm flipH="1">
                                <a:off x="10194" y="13364"/>
                                <a:ext cx="1440" cy="1440"/>
                              </a:xfrm>
                              <a:prstGeom prst="rect">
                                <a:avLst/>
                              </a:prstGeom>
                              <a:solidFill>
                                <a:srgbClr val="1E7FB8"/>
                              </a:solidFill>
                              <a:ln w="12700">
                                <a:solidFill>
                                  <a:srgbClr val="FFFFFF"/>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453" name="Rectangle 453"/>
                            <wps:cNvSpPr>
                              <a:spLocks noChangeArrowheads="1"/>
                            </wps:cNvSpPr>
                            <wps:spPr bwMode="auto">
                              <a:xfrm flipH="1">
                                <a:off x="8754" y="13364"/>
                                <a:ext cx="1440" cy="1440"/>
                              </a:xfrm>
                              <a:prstGeom prst="rect">
                                <a:avLst/>
                              </a:prstGeom>
                              <a:solidFill>
                                <a:schemeClr val="bg1">
                                  <a:lumMod val="75000"/>
                                  <a:alpha val="50000"/>
                                </a:schemeClr>
                              </a:solidFill>
                              <a:ln w="12700">
                                <a:solidFill>
                                  <a:srgbClr val="FFFFFF"/>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450" o:spid="_x0000_s1026" style="width:39pt;height:37.95pt;flip:x y;mso-position-horizontal-relative:char;mso-position-vertical-relative:line" coordorigin="8754,11945" coordsize="2880,2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">
                    <v:rect id="Rectangle 451" o:spid="_x0000_s1027" style="position:absolute;left:10194;top:11945;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BkLscA&#10;AADcAAAADwAAAGRycy9kb3ducmV2LnhtbESP3WrCQBSE7wu+w3KE3pS6UayUmI1If6AKCkZL8e6Q&#10;PSbB7NmQ3Wh8e7dQ6OUwM98wyaI3tbhQ6yrLCsajCARxbnXFhYLD/vP5FYTzyBpry6TgRg4W6eAh&#10;wVjbK+/okvlCBAi7GBWU3jexlC4vyaAb2YY4eCfbGvRBtoXULV4D3NRyEkUzabDisFBiQ28l5ees&#10;Mwq6yfTj+3jLnzZF9L7+8Vl3XK+2Sj0O++UchKfe/4f/2l9awfRlDL9nwhGQ6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IQZC7HAAAA3AAAAA8AAAAAAAAAAAAAAAAAmAIAAGRy&#10;cy9kb3ducmV2LnhtbFBLBQYAAAAABAAEAPUAAACMAwAAAAA=&#10;" fillcolor="#bfbfbf [2412]" strokecolor="white" strokeweight="1pt">
                      <v:fill opacity="32896f"/>
                      <v:shadow color="#d8d8d8" offset="3pt,3pt"/>
                    </v:rect>
                    <v:rect id="Rectangle 452" o:spid="_x0000_s1028" style="position:absolute;left:10194;top:1336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EPdMUA&#10;AADcAAAADwAAAGRycy9kb3ducmV2LnhtbESPT2vCQBTE7wW/w/KE3upG8R/RVUxBKLSX2hz09sg+&#10;k2D2bZp9avrt3UKhx2FmfsOst71r1I26UHs2MB4loIgLb2suDeRf+5clqCDIFhvPZOCHAmw3g6c1&#10;ptbf+ZNuBylVhHBI0UAl0qZah6Iih2HkW+LonX3nUKLsSm07vEe4a/QkSebaYc1xocKWXisqLoer&#10;M7D4Pu0/snyRz7OjhHEr/Tl5z4x5Hva7FSihXv7Df+03a2A6m8DvmXgE9OY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oQ90xQAAANwAAAAPAAAAAAAAAAAAAAAAAJgCAABkcnMv&#10;ZG93bnJldi54bWxQSwUGAAAAAAQABAD1AAAAigMAAAAA&#10;" fillcolor="#1e7fb8" strokecolor="white" strokeweight="1pt">
                      <v:shadow color="#d8d8d8" offset="3pt,3pt"/>
                    </v:rect>
                    <v:rect id="Rectangle 453" o:spid="_x0000_s1029" style="position:absolute;left:8754;top:1336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5fwsgA&#10;AADcAAAADwAAAGRycy9kb3ducmV2LnhtbESP3WrCQBSE74W+w3IK3hSz8aciqauItmCFFoyW4t0h&#10;e5oEs2dDdqPx7buFgpfDzHzDzJedqcSFGldaVjCMYhDEmdUl5wqOh7fBDITzyBory6TgRg6Wi4fe&#10;HBNtr7ynS+pzESDsElRQeF8nUrqsIIMusjVx8H5sY9AH2eRSN3gNcFPJURxPpcGSw0KBNa0Lys5p&#10;axS0o8nr1+mWPX3k8Wb37dP2tHv/VKr/2K1eQHjq/D38395qBZPnMfydCUdALn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djl/CyAAAANwAAAAPAAAAAAAAAAAAAAAAAJgCAABk&#10;cnMvZG93bnJldi54bWxQSwUGAAAAAAQABAD1AAAAjQMAAAAA&#10;" fillcolor="#bfbfbf [2412]" strokecolor="white" strokeweight="1pt">
                      <v:fill opacity="32896f"/>
                      <v:shadow color="#d8d8d8" offset="3pt,3pt"/>
                    </v:rect>
                    <w10:anchorlock/>
                  </v:group>
                </w:pict>
              </mc:Fallback>
            </mc:AlternateContent>
          </w:r>
        </w:p>
      </w:tc>
    </w:tr>
  </w:tbl>
  <w:p w14:paraId="7064BA17" w14:textId="77777777" w:rsidR="00C44951" w:rsidRDefault="00C449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282E05" w14:textId="77777777" w:rsidR="00A93040" w:rsidRDefault="00A93040">
      <w:pPr>
        <w:spacing w:after="0"/>
      </w:pPr>
      <w:r>
        <w:separator/>
      </w:r>
    </w:p>
  </w:footnote>
  <w:footnote w:type="continuationSeparator" w:id="0">
    <w:p w14:paraId="39155FCD" w14:textId="77777777" w:rsidR="00A93040" w:rsidRDefault="00A9304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64B9F8" w14:textId="77777777" w:rsidR="00C44951" w:rsidRPr="00C44951" w:rsidRDefault="00C44951">
    <w:pPr>
      <w:spacing w:after="0" w:line="200" w:lineRule="exact"/>
    </w:pPr>
  </w:p>
  <w:p w14:paraId="7064B9F9" w14:textId="77777777" w:rsidR="00C44951" w:rsidRPr="00C44951" w:rsidRDefault="00C44951">
    <w:pPr>
      <w:spacing w:after="0" w:line="200" w:lineRule="exact"/>
    </w:pPr>
  </w:p>
  <w:p w14:paraId="7064B9FA" w14:textId="77777777" w:rsidR="00C44951" w:rsidRPr="00C44951" w:rsidRDefault="00C44951">
    <w:pPr>
      <w:spacing w:after="0" w:line="200" w:lineRule="exact"/>
    </w:pPr>
  </w:p>
  <w:p w14:paraId="7064B9FB" w14:textId="77777777" w:rsidR="00C44951" w:rsidRPr="00C44951" w:rsidRDefault="00C44951">
    <w:pPr>
      <w:spacing w:after="0" w:line="200" w:lineRule="exact"/>
    </w:pPr>
  </w:p>
  <w:p w14:paraId="7064B9FC" w14:textId="77777777" w:rsidR="00C44951" w:rsidRPr="00C44951" w:rsidRDefault="00C44951">
    <w:pPr>
      <w:spacing w:after="0" w:line="200" w:lineRule="exact"/>
    </w:pPr>
  </w:p>
  <w:p w14:paraId="7064B9FD" w14:textId="77777777" w:rsidR="00C44951" w:rsidRPr="00C44951" w:rsidRDefault="00C44951">
    <w:pPr>
      <w:spacing w:after="0" w:line="200" w:lineRule="exact"/>
    </w:pPr>
  </w:p>
  <w:p w14:paraId="7064B9FE" w14:textId="77777777" w:rsidR="00AE71C8" w:rsidRPr="00C44951" w:rsidRDefault="00C44951">
    <w:pPr>
      <w:spacing w:after="0" w:line="200" w:lineRule="exact"/>
    </w:pPr>
    <w:r>
      <w:rPr>
        <w:noProof/>
      </w:rPr>
      <mc:AlternateContent>
        <mc:Choice Requires="wpg">
          <w:drawing>
            <wp:anchor distT="0" distB="0" distL="114300" distR="114300" simplePos="0" relativeHeight="251663360" behindDoc="1" locked="0" layoutInCell="1" allowOverlap="1" wp14:anchorId="7064BA18" wp14:editId="7064BA19">
              <wp:simplePos x="0" y="0"/>
              <wp:positionH relativeFrom="page">
                <wp:posOffset>390525</wp:posOffset>
              </wp:positionH>
              <wp:positionV relativeFrom="page">
                <wp:posOffset>136525</wp:posOffset>
              </wp:positionV>
              <wp:extent cx="6652260" cy="654050"/>
              <wp:effectExtent l="0" t="0" r="0" b="0"/>
              <wp:wrapNone/>
              <wp:docPr id="17"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2260" cy="654050"/>
                        <a:chOff x="720" y="0"/>
                        <a:chExt cx="10476" cy="1030"/>
                      </a:xfrm>
                    </wpg:grpSpPr>
                    <wpg:grpSp>
                      <wpg:cNvPr id="18" name="Group 15"/>
                      <wpg:cNvGrpSpPr>
                        <a:grpSpLocks/>
                      </wpg:cNvGrpSpPr>
                      <wpg:grpSpPr bwMode="auto">
                        <a:xfrm>
                          <a:off x="730" y="822"/>
                          <a:ext cx="10456" cy="198"/>
                          <a:chOff x="730" y="822"/>
                          <a:chExt cx="10456" cy="198"/>
                        </a:xfrm>
                      </wpg:grpSpPr>
                      <wps:wsp>
                        <wps:cNvPr id="19" name="Freeform 16"/>
                        <wps:cNvSpPr>
                          <a:spLocks/>
                        </wps:cNvSpPr>
                        <wps:spPr bwMode="auto">
                          <a:xfrm>
                            <a:off x="730" y="822"/>
                            <a:ext cx="10456" cy="198"/>
                          </a:xfrm>
                          <a:custGeom>
                            <a:avLst/>
                            <a:gdLst>
                              <a:gd name="T0" fmla="+- 0 730 730"/>
                              <a:gd name="T1" fmla="*/ T0 w 10456"/>
                              <a:gd name="T2" fmla="+- 0 1020 822"/>
                              <a:gd name="T3" fmla="*/ 1020 h 198"/>
                              <a:gd name="T4" fmla="+- 0 11186 730"/>
                              <a:gd name="T5" fmla="*/ T4 w 10456"/>
                              <a:gd name="T6" fmla="+- 0 1020 822"/>
                              <a:gd name="T7" fmla="*/ 1020 h 198"/>
                              <a:gd name="T8" fmla="+- 0 11186 730"/>
                              <a:gd name="T9" fmla="*/ T8 w 10456"/>
                              <a:gd name="T10" fmla="+- 0 822 822"/>
                              <a:gd name="T11" fmla="*/ 822 h 198"/>
                              <a:gd name="T12" fmla="+- 0 730 730"/>
                              <a:gd name="T13" fmla="*/ T12 w 10456"/>
                              <a:gd name="T14" fmla="+- 0 822 822"/>
                              <a:gd name="T15" fmla="*/ 822 h 198"/>
                              <a:gd name="T16" fmla="+- 0 730 730"/>
                              <a:gd name="T17" fmla="*/ T16 w 10456"/>
                              <a:gd name="T18" fmla="+- 0 1020 822"/>
                              <a:gd name="T19" fmla="*/ 1020 h 198"/>
                            </a:gdLst>
                            <a:ahLst/>
                            <a:cxnLst>
                              <a:cxn ang="0">
                                <a:pos x="T1" y="T3"/>
                              </a:cxn>
                              <a:cxn ang="0">
                                <a:pos x="T5" y="T7"/>
                              </a:cxn>
                              <a:cxn ang="0">
                                <a:pos x="T9" y="T11"/>
                              </a:cxn>
                              <a:cxn ang="0">
                                <a:pos x="T13" y="T15"/>
                              </a:cxn>
                              <a:cxn ang="0">
                                <a:pos x="T17" y="T19"/>
                              </a:cxn>
                            </a:cxnLst>
                            <a:rect l="0" t="0" r="r" b="b"/>
                            <a:pathLst>
                              <a:path w="10456" h="198">
                                <a:moveTo>
                                  <a:pt x="0" y="198"/>
                                </a:moveTo>
                                <a:lnTo>
                                  <a:pt x="10456" y="198"/>
                                </a:lnTo>
                                <a:lnTo>
                                  <a:pt x="10456" y="0"/>
                                </a:lnTo>
                                <a:lnTo>
                                  <a:pt x="0" y="0"/>
                                </a:lnTo>
                                <a:lnTo>
                                  <a:pt x="0" y="198"/>
                                </a:lnTo>
                                <a:close/>
                              </a:path>
                            </a:pathLst>
                          </a:custGeom>
                          <a:solidFill>
                            <a:schemeClr val="tx2">
                              <a:lumMod val="20000"/>
                              <a:lumOff val="8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13"/>
                      <wpg:cNvGrpSpPr>
                        <a:grpSpLocks/>
                      </wpg:cNvGrpSpPr>
                      <wpg:grpSpPr bwMode="auto">
                        <a:xfrm>
                          <a:off x="730" y="0"/>
                          <a:ext cx="10456" cy="822"/>
                          <a:chOff x="730" y="0"/>
                          <a:chExt cx="10456" cy="822"/>
                        </a:xfrm>
                      </wpg:grpSpPr>
                      <wps:wsp>
                        <wps:cNvPr id="21" name="Freeform 14"/>
                        <wps:cNvSpPr>
                          <a:spLocks/>
                        </wps:cNvSpPr>
                        <wps:spPr bwMode="auto">
                          <a:xfrm>
                            <a:off x="730" y="0"/>
                            <a:ext cx="10456" cy="822"/>
                          </a:xfrm>
                          <a:custGeom>
                            <a:avLst/>
                            <a:gdLst>
                              <a:gd name="T0" fmla="+- 0 730 730"/>
                              <a:gd name="T1" fmla="*/ T0 w 10456"/>
                              <a:gd name="T2" fmla="*/ 822 h 822"/>
                              <a:gd name="T3" fmla="+- 0 11186 730"/>
                              <a:gd name="T4" fmla="*/ T3 w 10456"/>
                              <a:gd name="T5" fmla="*/ 822 h 822"/>
                              <a:gd name="T6" fmla="+- 0 11186 730"/>
                              <a:gd name="T7" fmla="*/ T6 w 10456"/>
                              <a:gd name="T8" fmla="*/ 0 h 822"/>
                              <a:gd name="T9" fmla="+- 0 730 730"/>
                              <a:gd name="T10" fmla="*/ T9 w 10456"/>
                              <a:gd name="T11" fmla="*/ 0 h 822"/>
                              <a:gd name="T12" fmla="+- 0 730 730"/>
                              <a:gd name="T13" fmla="*/ T12 w 10456"/>
                              <a:gd name="T14" fmla="*/ 822 h 822"/>
                            </a:gdLst>
                            <a:ahLst/>
                            <a:cxnLst>
                              <a:cxn ang="0">
                                <a:pos x="T1" y="T2"/>
                              </a:cxn>
                              <a:cxn ang="0">
                                <a:pos x="T4" y="T5"/>
                              </a:cxn>
                              <a:cxn ang="0">
                                <a:pos x="T7" y="T8"/>
                              </a:cxn>
                              <a:cxn ang="0">
                                <a:pos x="T10" y="T11"/>
                              </a:cxn>
                              <a:cxn ang="0">
                                <a:pos x="T13" y="T14"/>
                              </a:cxn>
                            </a:cxnLst>
                            <a:rect l="0" t="0" r="r" b="b"/>
                            <a:pathLst>
                              <a:path w="10456" h="822">
                                <a:moveTo>
                                  <a:pt x="0" y="822"/>
                                </a:moveTo>
                                <a:lnTo>
                                  <a:pt x="10456" y="822"/>
                                </a:lnTo>
                                <a:lnTo>
                                  <a:pt x="10456" y="0"/>
                                </a:lnTo>
                                <a:lnTo>
                                  <a:pt x="0" y="0"/>
                                </a:lnTo>
                                <a:lnTo>
                                  <a:pt x="0" y="822"/>
                                </a:lnTo>
                              </a:path>
                            </a:pathLst>
                          </a:custGeom>
                          <a:solidFill>
                            <a:srgbClr val="1E7FB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2" o:spid="_x0000_s1026" style="position:absolute;margin-left:30.75pt;margin-top:10.75pt;width:523.8pt;height:51.5pt;z-index:-251653120;mso-position-horizontal-relative:page;mso-position-vertical-relative:page" coordorigin="720" coordsize="10476,1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">
              <v:group id="Group 15" o:spid="_x0000_s1027" style="position:absolute;left:730;top:822;width:10456;height:198" coordorigin="730,822" coordsize="10456,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Freeform 16" o:spid="_x0000_s1028" style="position:absolute;left:730;top:822;width:10456;height:198;visibility:visible;mso-wrap-style:square;v-text-anchor:top" coordsize="10456,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mGsEA&#10;AADbAAAADwAAAGRycy9kb3ducmV2LnhtbERPTYvCMBC9L/gfwgje1lSRXa1GEZeVvbhY9eBxaMam&#10;2ExKE7X6642wsLd5vM+ZLVpbiSs1vnSsYNBPQBDnTpdcKDjsv9/HIHxA1lg5JgV38rCYd95mmGp3&#10;44yuu1CIGMI+RQUmhDqV0ueGLPq+q4kjd3KNxRBhU0jd4C2G20oOk+RDWiw5NhisaWUoP+8uVkF5&#10;eZhPXmdH+t2MsmFWLYsvvVWq122XUxCB2vAv/nP/6Dh/Aq9f4gFy/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7phrBAAAA2wAAAA8AAAAAAAAAAAAAAAAAmAIAAGRycy9kb3du&#10;cmV2LnhtbFBLBQYAAAAABAAEAPUAAACGAwAAAAA=&#10;" path="m,198r10456,l10456,,,,,198xe" fillcolor="#c6d9f1 [671]" stroked="f">
                  <v:path arrowok="t" o:connecttype="custom" o:connectlocs="0,1020;10456,1020;10456,822;0,822;0,1020" o:connectangles="0,0,0,0,0"/>
                </v:shape>
              </v:group>
              <v:group id="Group 13" o:spid="_x0000_s1029" style="position:absolute;left:730;width:10456;height:822" coordorigin="730" coordsize="10456,8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14" o:spid="_x0000_s1030" style="position:absolute;left:730;width:10456;height:822;visibility:visible;mso-wrap-style:square;v-text-anchor:top" coordsize="10456,8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gx0sUA&#10;AADbAAAADwAAAGRycy9kb3ducmV2LnhtbESPzWrDMBCE74W+g9hAbrWcH0xxLIdQCIReitNQ2tti&#10;bWy31spYauz66aNAoMdhZr5hsu1oWnGh3jWWFSyiGARxaXXDlYLT+/7pGYTzyBpby6Tgjxxs88eH&#10;DFNtBy7ocvSVCBB2KSqove9SKV1Zk0EX2Y44eGfbG/RB9pXUPQ4Bblq5jONEGmw4LNTY0UtN5c/x&#10;1yj4fv3y61XyKYvyY7IjmuktkZNS89m424DwNPr/8L190AqWC7h9CT9A5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DHSxQAAANsAAAAPAAAAAAAAAAAAAAAAAJgCAABkcnMv&#10;ZG93bnJldi54bWxQSwUGAAAAAAQABAD1AAAAigMAAAAA&#10;" path="m,822r10456,l10456,,,,,822e" fillcolor="#1e7fb8" stroked="f">
                  <v:path arrowok="t" o:connecttype="custom" o:connectlocs="0,822;10456,822;10456,0;0,0;0,822" o:connectangles="0,0,0,0,0"/>
                </v:shape>
              </v:group>
              <w10:wrap anchorx="page" anchory="pag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64B9FF" w14:textId="77777777" w:rsidR="00C44951" w:rsidRDefault="00C44951">
    <w:pPr>
      <w:pStyle w:val="Header"/>
    </w:pPr>
  </w:p>
  <w:p w14:paraId="7064BA00" w14:textId="77777777" w:rsidR="00C44951" w:rsidRDefault="00C44951">
    <w:pPr>
      <w:pStyle w:val="Header"/>
    </w:pPr>
  </w:p>
  <w:p w14:paraId="7064BA01" w14:textId="77777777" w:rsidR="00C44951" w:rsidRDefault="00C44951">
    <w:pPr>
      <w:pStyle w:val="Header"/>
    </w:pPr>
  </w:p>
  <w:p w14:paraId="7064BA02" w14:textId="77777777" w:rsidR="00C44951" w:rsidRDefault="00C44951" w:rsidP="00C44951">
    <w:pPr>
      <w:pStyle w:val="Header"/>
      <w:tabs>
        <w:tab w:val="clear" w:pos="4513"/>
        <w:tab w:val="clear" w:pos="9026"/>
        <w:tab w:val="left" w:pos="1260"/>
      </w:tabs>
    </w:pPr>
  </w:p>
  <w:p w14:paraId="7064BA03" w14:textId="77777777" w:rsidR="00C44951" w:rsidRDefault="00C44951">
    <w:pPr>
      <w:pStyle w:val="Header"/>
    </w:pPr>
  </w:p>
  <w:p w14:paraId="7064BA04" w14:textId="77777777" w:rsidR="00C44951" w:rsidRDefault="00C44951">
    <w:pPr>
      <w:pStyle w:val="Header"/>
    </w:pPr>
    <w:r>
      <w:rPr>
        <w:noProof/>
      </w:rPr>
      <mc:AlternateContent>
        <mc:Choice Requires="wpg">
          <w:drawing>
            <wp:anchor distT="0" distB="0" distL="114300" distR="114300" simplePos="0" relativeHeight="251661312" behindDoc="1" locked="0" layoutInCell="1" allowOverlap="1" wp14:anchorId="7064BA1A" wp14:editId="7064BA1B">
              <wp:simplePos x="0" y="0"/>
              <wp:positionH relativeFrom="page">
                <wp:posOffset>428625</wp:posOffset>
              </wp:positionH>
              <wp:positionV relativeFrom="page">
                <wp:posOffset>174625</wp:posOffset>
              </wp:positionV>
              <wp:extent cx="6652260" cy="654050"/>
              <wp:effectExtent l="0" t="0" r="0" b="0"/>
              <wp:wrapNone/>
              <wp:docPr id="80"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2260" cy="654050"/>
                        <a:chOff x="720" y="0"/>
                        <a:chExt cx="10476" cy="1030"/>
                      </a:xfrm>
                      <a:solidFill>
                        <a:schemeClr val="accent3">
                          <a:lumMod val="50000"/>
                        </a:schemeClr>
                      </a:solidFill>
                    </wpg:grpSpPr>
                    <wpg:grpSp>
                      <wpg:cNvPr id="81" name="Group 15"/>
                      <wpg:cNvGrpSpPr>
                        <a:grpSpLocks/>
                      </wpg:cNvGrpSpPr>
                      <wpg:grpSpPr bwMode="auto">
                        <a:xfrm>
                          <a:off x="730" y="822"/>
                          <a:ext cx="10456" cy="198"/>
                          <a:chOff x="730" y="822"/>
                          <a:chExt cx="10456" cy="198"/>
                        </a:xfrm>
                        <a:grpFill/>
                      </wpg:grpSpPr>
                      <wps:wsp>
                        <wps:cNvPr id="82" name="Freeform 16"/>
                        <wps:cNvSpPr>
                          <a:spLocks/>
                        </wps:cNvSpPr>
                        <wps:spPr bwMode="auto">
                          <a:xfrm>
                            <a:off x="730" y="822"/>
                            <a:ext cx="10456" cy="198"/>
                          </a:xfrm>
                          <a:custGeom>
                            <a:avLst/>
                            <a:gdLst>
                              <a:gd name="T0" fmla="+- 0 730 730"/>
                              <a:gd name="T1" fmla="*/ T0 w 10456"/>
                              <a:gd name="T2" fmla="+- 0 1020 822"/>
                              <a:gd name="T3" fmla="*/ 1020 h 198"/>
                              <a:gd name="T4" fmla="+- 0 11186 730"/>
                              <a:gd name="T5" fmla="*/ T4 w 10456"/>
                              <a:gd name="T6" fmla="+- 0 1020 822"/>
                              <a:gd name="T7" fmla="*/ 1020 h 198"/>
                              <a:gd name="T8" fmla="+- 0 11186 730"/>
                              <a:gd name="T9" fmla="*/ T8 w 10456"/>
                              <a:gd name="T10" fmla="+- 0 822 822"/>
                              <a:gd name="T11" fmla="*/ 822 h 198"/>
                              <a:gd name="T12" fmla="+- 0 730 730"/>
                              <a:gd name="T13" fmla="*/ T12 w 10456"/>
                              <a:gd name="T14" fmla="+- 0 822 822"/>
                              <a:gd name="T15" fmla="*/ 822 h 198"/>
                              <a:gd name="T16" fmla="+- 0 730 730"/>
                              <a:gd name="T17" fmla="*/ T16 w 10456"/>
                              <a:gd name="T18" fmla="+- 0 1020 822"/>
                              <a:gd name="T19" fmla="*/ 1020 h 198"/>
                            </a:gdLst>
                            <a:ahLst/>
                            <a:cxnLst>
                              <a:cxn ang="0">
                                <a:pos x="T1" y="T3"/>
                              </a:cxn>
                              <a:cxn ang="0">
                                <a:pos x="T5" y="T7"/>
                              </a:cxn>
                              <a:cxn ang="0">
                                <a:pos x="T9" y="T11"/>
                              </a:cxn>
                              <a:cxn ang="0">
                                <a:pos x="T13" y="T15"/>
                              </a:cxn>
                              <a:cxn ang="0">
                                <a:pos x="T17" y="T19"/>
                              </a:cxn>
                            </a:cxnLst>
                            <a:rect l="0" t="0" r="r" b="b"/>
                            <a:pathLst>
                              <a:path w="10456" h="198">
                                <a:moveTo>
                                  <a:pt x="0" y="198"/>
                                </a:moveTo>
                                <a:lnTo>
                                  <a:pt x="10456" y="198"/>
                                </a:lnTo>
                                <a:lnTo>
                                  <a:pt x="10456" y="0"/>
                                </a:lnTo>
                                <a:lnTo>
                                  <a:pt x="0" y="0"/>
                                </a:lnTo>
                                <a:lnTo>
                                  <a:pt x="0" y="198"/>
                                </a:lnTo>
                                <a:close/>
                              </a:path>
                            </a:pathLst>
                          </a:custGeom>
                          <a:solidFill>
                            <a:schemeClr val="tx2">
                              <a:lumMod val="20000"/>
                              <a:lumOff val="8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83" name="Group 13"/>
                      <wpg:cNvGrpSpPr>
                        <a:grpSpLocks/>
                      </wpg:cNvGrpSpPr>
                      <wpg:grpSpPr bwMode="auto">
                        <a:xfrm>
                          <a:off x="730" y="0"/>
                          <a:ext cx="10456" cy="822"/>
                          <a:chOff x="730" y="0"/>
                          <a:chExt cx="10456" cy="822"/>
                        </a:xfrm>
                        <a:grpFill/>
                      </wpg:grpSpPr>
                      <wps:wsp>
                        <wps:cNvPr id="84" name="Freeform 14"/>
                        <wps:cNvSpPr>
                          <a:spLocks/>
                        </wps:cNvSpPr>
                        <wps:spPr bwMode="auto">
                          <a:xfrm>
                            <a:off x="730" y="0"/>
                            <a:ext cx="10456" cy="822"/>
                          </a:xfrm>
                          <a:custGeom>
                            <a:avLst/>
                            <a:gdLst>
                              <a:gd name="T0" fmla="+- 0 730 730"/>
                              <a:gd name="T1" fmla="*/ T0 w 10456"/>
                              <a:gd name="T2" fmla="*/ 822 h 822"/>
                              <a:gd name="T3" fmla="+- 0 11186 730"/>
                              <a:gd name="T4" fmla="*/ T3 w 10456"/>
                              <a:gd name="T5" fmla="*/ 822 h 822"/>
                              <a:gd name="T6" fmla="+- 0 11186 730"/>
                              <a:gd name="T7" fmla="*/ T6 w 10456"/>
                              <a:gd name="T8" fmla="*/ 0 h 822"/>
                              <a:gd name="T9" fmla="+- 0 730 730"/>
                              <a:gd name="T10" fmla="*/ T9 w 10456"/>
                              <a:gd name="T11" fmla="*/ 0 h 822"/>
                              <a:gd name="T12" fmla="+- 0 730 730"/>
                              <a:gd name="T13" fmla="*/ T12 w 10456"/>
                              <a:gd name="T14" fmla="*/ 822 h 822"/>
                            </a:gdLst>
                            <a:ahLst/>
                            <a:cxnLst>
                              <a:cxn ang="0">
                                <a:pos x="T1" y="T2"/>
                              </a:cxn>
                              <a:cxn ang="0">
                                <a:pos x="T4" y="T5"/>
                              </a:cxn>
                              <a:cxn ang="0">
                                <a:pos x="T7" y="T8"/>
                              </a:cxn>
                              <a:cxn ang="0">
                                <a:pos x="T10" y="T11"/>
                              </a:cxn>
                              <a:cxn ang="0">
                                <a:pos x="T13" y="T14"/>
                              </a:cxn>
                            </a:cxnLst>
                            <a:rect l="0" t="0" r="r" b="b"/>
                            <a:pathLst>
                              <a:path w="10456" h="822">
                                <a:moveTo>
                                  <a:pt x="0" y="822"/>
                                </a:moveTo>
                                <a:lnTo>
                                  <a:pt x="10456" y="822"/>
                                </a:lnTo>
                                <a:lnTo>
                                  <a:pt x="10456" y="0"/>
                                </a:lnTo>
                                <a:lnTo>
                                  <a:pt x="0" y="0"/>
                                </a:lnTo>
                                <a:lnTo>
                                  <a:pt x="0" y="822"/>
                                </a:lnTo>
                              </a:path>
                            </a:pathLst>
                          </a:custGeom>
                          <a:solidFill>
                            <a:srgbClr val="1E7FB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2" o:spid="_x0000_s1026" style="position:absolute;margin-left:33.75pt;margin-top:13.75pt;width:523.8pt;height:51.5pt;z-index:-251655168;mso-position-horizontal-relative:page;mso-position-vertical-relative:page" coordorigin="720" coordsize="10476,1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">
              <v:group id="Group 15" o:spid="_x0000_s1027" style="position:absolute;left:730;top:822;width:10456;height:198" coordorigin="730,822" coordsize="10456,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shape id="Freeform 16" o:spid="_x0000_s1028" style="position:absolute;left:730;top:822;width:10456;height:198;visibility:visible;mso-wrap-style:square;v-text-anchor:top" coordsize="10456,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Wh7MQA&#10;AADbAAAADwAAAGRycy9kb3ducmV2LnhtbESPQWvCQBSE74X+h+UVvNVNQ7EhuoZQsXixNLYHj4/s&#10;MxvMvg3ZVaO/vlsoeBxm5htmUYy2E2cafOtYwcs0AUFcO91yo+Dne/2cgfABWWPnmBRcyUOxfHxY&#10;YK7dhSs670IjIoR9jgpMCH0upa8NWfRT1xNH7+AGiyHKoZF6wEuE206mSTKTFluOCwZ7ejdUH3cn&#10;q6A93cwbf1R7+ty+VmnVlc1Kfyk1eRrLOYhAY7iH/9sbrSBL4e9L/AF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VoezEAAAA2wAAAA8AAAAAAAAAAAAAAAAAmAIAAGRycy9k&#10;b3ducmV2LnhtbFBLBQYAAAAABAAEAPUAAACJAwAAAAA=&#10;" path="m,198r10456,l10456,,,,,198xe" fillcolor="#c6d9f1 [671]" stroked="f">
                  <v:path arrowok="t" o:connecttype="custom" o:connectlocs="0,1020;10456,1020;10456,822;0,822;0,1020" o:connectangles="0,0,0,0,0"/>
                </v:shape>
              </v:group>
              <v:group id="Group 13" o:spid="_x0000_s1029" style="position:absolute;left:730;width:10456;height:822" coordorigin="730" coordsize="10456,8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eXJ6sQAAADbAAAA&#10;DwAAAAAAAAAAAAAAAACqAgAAZHJzL2Rvd25yZXYueG1sUEsFBgAAAAAEAAQA+gAAAJsDAAAAAA==&#10;">
                <v:shape id="Freeform 14" o:spid="_x0000_s1030" style="position:absolute;left:730;width:10456;height:822;visibility:visible;mso-wrap-style:square;v-text-anchor:top" coordsize="10456,8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nNcMMA&#10;AADbAAAADwAAAGRycy9kb3ducmV2LnhtbESPQYvCMBSE74L/ITxhb2vqKqVUo4iwIF4WXRG9PZpn&#10;W21eShO121+/EQSPw8x8w8wWranEnRpXWlYwGkYgiDOrS84V7H+/PxMQziNrrCyTgj9ysJj3ezNM&#10;tX3wlu47n4sAYZeigsL7OpXSZQUZdENbEwfvbBuDPsgml7rBR4CbSn5FUSwNlhwWCqxpVVB23d2M&#10;gsvm5Cfj+Ci32aGzLZruJ5adUh+DdjkF4an17/CrvdYKkgk8v4QfIO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nNcMMAAADbAAAADwAAAAAAAAAAAAAAAACYAgAAZHJzL2Rv&#10;d25yZXYueG1sUEsFBgAAAAAEAAQA9QAAAIgDAAAAAA==&#10;" path="m,822r10456,l10456,,,,,822e" fillcolor="#1e7fb8" stroked="f">
                  <v:path arrowok="t" o:connecttype="custom" o:connectlocs="0,822;10456,822;10456,0;0,0;0,822" o:connectangles="0,0,0,0,0"/>
                </v:shape>
              </v:group>
              <w10:wrap anchorx="page" anchory="pag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64BA10" w14:textId="57574F3B" w:rsidR="004A558B" w:rsidRPr="00A5619A" w:rsidRDefault="005375CD" w:rsidP="005375CD">
    <w:pPr>
      <w:pStyle w:val="Header"/>
      <w:spacing w:before="800"/>
      <w:jc w:val="right"/>
      <w:rPr>
        <w:b/>
        <w:bCs/>
        <w:caps/>
        <w:color w:val="FFFFFF" w:themeColor="background1"/>
        <w:sz w:val="40"/>
        <w:szCs w:val="40"/>
        <w:lang w:val="fr-FR"/>
      </w:rPr>
    </w:pPr>
    <w:r w:rsidRPr="00A5619A">
      <w:rPr>
        <w:noProof/>
      </w:rPr>
      <mc:AlternateContent>
        <mc:Choice Requires="wpg">
          <w:drawing>
            <wp:anchor distT="0" distB="0" distL="114300" distR="114300" simplePos="0" relativeHeight="251659264" behindDoc="1" locked="0" layoutInCell="1" allowOverlap="1" wp14:anchorId="7064BA20" wp14:editId="107C84DE">
              <wp:simplePos x="0" y="0"/>
              <wp:positionH relativeFrom="page">
                <wp:posOffset>612140</wp:posOffset>
              </wp:positionH>
              <wp:positionV relativeFrom="page">
                <wp:posOffset>142875</wp:posOffset>
              </wp:positionV>
              <wp:extent cx="6652260" cy="2321560"/>
              <wp:effectExtent l="0" t="0" r="0" b="0"/>
              <wp:wrapNone/>
              <wp:docPr id="45"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2260" cy="2321560"/>
                        <a:chOff x="720" y="0"/>
                        <a:chExt cx="10476" cy="2561"/>
                      </a:xfrm>
                      <a:solidFill>
                        <a:srgbClr val="1E7FB8"/>
                      </a:solidFill>
                    </wpg:grpSpPr>
                    <wpg:grpSp>
                      <wpg:cNvPr id="46" name="Group 25"/>
                      <wpg:cNvGrpSpPr>
                        <a:grpSpLocks/>
                      </wpg:cNvGrpSpPr>
                      <wpg:grpSpPr bwMode="auto">
                        <a:xfrm>
                          <a:off x="730" y="2339"/>
                          <a:ext cx="10456" cy="213"/>
                          <a:chOff x="730" y="2339"/>
                          <a:chExt cx="10456" cy="213"/>
                        </a:xfrm>
                        <a:grpFill/>
                      </wpg:grpSpPr>
                      <wps:wsp>
                        <wps:cNvPr id="47" name="Freeform 26"/>
                        <wps:cNvSpPr>
                          <a:spLocks/>
                        </wps:cNvSpPr>
                        <wps:spPr bwMode="auto">
                          <a:xfrm>
                            <a:off x="730" y="2339"/>
                            <a:ext cx="10456" cy="213"/>
                          </a:xfrm>
                          <a:custGeom>
                            <a:avLst/>
                            <a:gdLst>
                              <a:gd name="T0" fmla="+- 0 730 730"/>
                              <a:gd name="T1" fmla="*/ T0 w 10456"/>
                              <a:gd name="T2" fmla="+- 0 2551 2339"/>
                              <a:gd name="T3" fmla="*/ 2551 h 213"/>
                              <a:gd name="T4" fmla="+- 0 11186 730"/>
                              <a:gd name="T5" fmla="*/ T4 w 10456"/>
                              <a:gd name="T6" fmla="+- 0 2551 2339"/>
                              <a:gd name="T7" fmla="*/ 2551 h 213"/>
                              <a:gd name="T8" fmla="+- 0 11186 730"/>
                              <a:gd name="T9" fmla="*/ T8 w 10456"/>
                              <a:gd name="T10" fmla="+- 0 2339 2339"/>
                              <a:gd name="T11" fmla="*/ 2339 h 213"/>
                              <a:gd name="T12" fmla="+- 0 730 730"/>
                              <a:gd name="T13" fmla="*/ T12 w 10456"/>
                              <a:gd name="T14" fmla="+- 0 2339 2339"/>
                              <a:gd name="T15" fmla="*/ 2339 h 213"/>
                              <a:gd name="T16" fmla="+- 0 730 730"/>
                              <a:gd name="T17" fmla="*/ T16 w 10456"/>
                              <a:gd name="T18" fmla="+- 0 2551 2339"/>
                              <a:gd name="T19" fmla="*/ 2551 h 213"/>
                            </a:gdLst>
                            <a:ahLst/>
                            <a:cxnLst>
                              <a:cxn ang="0">
                                <a:pos x="T1" y="T3"/>
                              </a:cxn>
                              <a:cxn ang="0">
                                <a:pos x="T5" y="T7"/>
                              </a:cxn>
                              <a:cxn ang="0">
                                <a:pos x="T9" y="T11"/>
                              </a:cxn>
                              <a:cxn ang="0">
                                <a:pos x="T13" y="T15"/>
                              </a:cxn>
                              <a:cxn ang="0">
                                <a:pos x="T17" y="T19"/>
                              </a:cxn>
                            </a:cxnLst>
                            <a:rect l="0" t="0" r="r" b="b"/>
                            <a:pathLst>
                              <a:path w="10456" h="213">
                                <a:moveTo>
                                  <a:pt x="0" y="212"/>
                                </a:moveTo>
                                <a:lnTo>
                                  <a:pt x="10456" y="212"/>
                                </a:lnTo>
                                <a:lnTo>
                                  <a:pt x="10456" y="0"/>
                                </a:lnTo>
                                <a:lnTo>
                                  <a:pt x="0" y="0"/>
                                </a:lnTo>
                                <a:lnTo>
                                  <a:pt x="0" y="212"/>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8" name="Group 23"/>
                      <wpg:cNvGrpSpPr>
                        <a:grpSpLocks/>
                      </wpg:cNvGrpSpPr>
                      <wpg:grpSpPr bwMode="auto">
                        <a:xfrm>
                          <a:off x="730" y="0"/>
                          <a:ext cx="10456" cy="2339"/>
                          <a:chOff x="730" y="0"/>
                          <a:chExt cx="10456" cy="2339"/>
                        </a:xfrm>
                        <a:grpFill/>
                      </wpg:grpSpPr>
                      <wps:wsp>
                        <wps:cNvPr id="49" name="Freeform 24"/>
                        <wps:cNvSpPr>
                          <a:spLocks/>
                        </wps:cNvSpPr>
                        <wps:spPr bwMode="auto">
                          <a:xfrm>
                            <a:off x="730" y="0"/>
                            <a:ext cx="10456" cy="2339"/>
                          </a:xfrm>
                          <a:custGeom>
                            <a:avLst/>
                            <a:gdLst>
                              <a:gd name="T0" fmla="+- 0 730 730"/>
                              <a:gd name="T1" fmla="*/ T0 w 10456"/>
                              <a:gd name="T2" fmla="*/ 2339 h 2339"/>
                              <a:gd name="T3" fmla="+- 0 11186 730"/>
                              <a:gd name="T4" fmla="*/ T3 w 10456"/>
                              <a:gd name="T5" fmla="*/ 2339 h 2339"/>
                              <a:gd name="T6" fmla="+- 0 11186 730"/>
                              <a:gd name="T7" fmla="*/ T6 w 10456"/>
                              <a:gd name="T8" fmla="*/ 0 h 2339"/>
                              <a:gd name="T9" fmla="+- 0 730 730"/>
                              <a:gd name="T10" fmla="*/ T9 w 10456"/>
                              <a:gd name="T11" fmla="*/ 0 h 2339"/>
                              <a:gd name="T12" fmla="+- 0 730 730"/>
                              <a:gd name="T13" fmla="*/ T12 w 10456"/>
                              <a:gd name="T14" fmla="*/ 2339 h 2339"/>
                            </a:gdLst>
                            <a:ahLst/>
                            <a:cxnLst>
                              <a:cxn ang="0">
                                <a:pos x="T1" y="T2"/>
                              </a:cxn>
                              <a:cxn ang="0">
                                <a:pos x="T4" y="T5"/>
                              </a:cxn>
                              <a:cxn ang="0">
                                <a:pos x="T7" y="T8"/>
                              </a:cxn>
                              <a:cxn ang="0">
                                <a:pos x="T10" y="T11"/>
                              </a:cxn>
                              <a:cxn ang="0">
                                <a:pos x="T13" y="T14"/>
                              </a:cxn>
                            </a:cxnLst>
                            <a:rect l="0" t="0" r="r" b="b"/>
                            <a:pathLst>
                              <a:path w="10456" h="2339">
                                <a:moveTo>
                                  <a:pt x="0" y="2339"/>
                                </a:moveTo>
                                <a:lnTo>
                                  <a:pt x="10456" y="2339"/>
                                </a:lnTo>
                                <a:lnTo>
                                  <a:pt x="10456" y="0"/>
                                </a:lnTo>
                                <a:lnTo>
                                  <a:pt x="0" y="0"/>
                                </a:lnTo>
                                <a:lnTo>
                                  <a:pt x="0" y="2339"/>
                                </a:ln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22" o:spid="_x0000_s1026" style="position:absolute;margin-left:48.2pt;margin-top:11.25pt;width:523.8pt;height:182.8pt;z-index:-251657216;mso-position-horizontal-relative:page;mso-position-vertical-relative:page" coordorigin="720" coordsize="10476,25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">
              <v:group id="Group 25" o:spid="_x0000_s1027" style="position:absolute;left:730;top:2339;width:10456;height:213" coordorigin="730,2339" coordsize="10456,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shape id="Freeform 26" o:spid="_x0000_s1028" style="position:absolute;left:730;top:2339;width:10456;height:213;visibility:visible;mso-wrap-style:square;v-text-anchor:top" coordsize="10456,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tGDcEA&#10;AADbAAAADwAAAGRycy9kb3ducmV2LnhtbESPW4vCMBSE34X9D+Es+KapF7x0m8oiCD4pq+LzoTnb&#10;FpuTbhK1/nsjCPs4zHwzTLbqTCNu5HxtWcFomIAgLqyuuVRwOm4GCxA+IGtsLJOCB3lY5R+9DFNt&#10;7/xDt0MoRSxhn6KCKoQ2ldIXFRn0Q9sSR+/XOoMhSldK7fAey00jx0kykwZrjgsVtrSuqLgcrkZB&#10;M97t7WyymbYuop09L/94H5Tqf3bfXyACdeE//Ka3WsF0Dq8v8QfI/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bRg3BAAAA2wAAAA8AAAAAAAAAAAAAAAAAmAIAAGRycy9kb3du&#10;cmV2LnhtbFBLBQYAAAAABAAEAPUAAACGAwAAAAA=&#10;" path="m,212r10456,l10456,,,,,212xe" filled="f" stroked="f">
                  <v:path arrowok="t" o:connecttype="custom" o:connectlocs="0,2551;10456,2551;10456,2339;0,2339;0,2551" o:connectangles="0,0,0,0,0"/>
                </v:shape>
              </v:group>
              <v:group id="Group 23" o:spid="_x0000_s1029" style="position:absolute;left:730;width:10456;height:2339" coordorigin="730" coordsize="10456,23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shape id="Freeform 24" o:spid="_x0000_s1030" style="position:absolute;left:730;width:10456;height:2339;visibility:visible;mso-wrap-style:square;v-text-anchor:top" coordsize="10456,23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5FXsMA&#10;AADbAAAADwAAAGRycy9kb3ducmV2LnhtbESPwW7CMBBE75X4B2uReisOFWohYBBqKfTYGj5gFW/i&#10;iHgdxW4IfH2NVKnH0cy80aw2g2tET12oPSuYTjIQxIU3NVcKTsePpzmIEJENNp5JwZUCbNajhxXm&#10;xl/4m3odK5EgHHJUYGNscylDYclhmPiWOHml7xzGJLtKmg4vCe4a+ZxlL9JhzWnBYktvloqz/nEK&#10;bjtT7m/6vXotje39werj6Usr9TgetksQkYb4H/5rfxoFswXcv6Qf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5FXsMAAADbAAAADwAAAAAAAAAAAAAAAACYAgAAZHJzL2Rv&#10;d25yZXYueG1sUEsFBgAAAAAEAAQA9QAAAIgDAAAAAA==&#10;" path="m,2339r10456,l10456,,,,,2339e" filled="f" stroked="f">
                  <v:path arrowok="t" o:connecttype="custom" o:connectlocs="0,2339;10456,2339;10456,0;0,0;0,2339" o:connectangles="0,0,0,0,0"/>
                </v:shape>
              </v:group>
              <w10:wrap anchorx="page" anchory="page"/>
            </v:group>
          </w:pict>
        </mc:Fallback>
      </mc:AlternateContent>
    </w:r>
    <w:r w:rsidRPr="005375CD">
      <w:rPr>
        <w:b/>
        <w:bCs/>
        <w:caps/>
        <w:color w:val="FFFFFF" w:themeColor="background1"/>
        <w:sz w:val="40"/>
        <w:szCs w:val="40"/>
        <w:lang w:val="fr"/>
      </w:rPr>
      <w:t>PIC13/S3/1</w:t>
    </w:r>
    <w:r>
      <w:rPr>
        <w:b/>
        <w:bCs/>
        <w:caps/>
        <w:color w:val="FFFFFF" w:themeColor="background1"/>
        <w:sz w:val="40"/>
        <w:szCs w:val="40"/>
        <w:lang w:val="fr"/>
      </w:rPr>
      <w:t>/</w:t>
    </w:r>
    <w:r w:rsidRPr="005375CD">
      <w:rPr>
        <w:b/>
        <w:bCs/>
        <w:caps/>
        <w:color w:val="FFFFFF" w:themeColor="background1"/>
        <w:sz w:val="40"/>
        <w:szCs w:val="40"/>
        <w:lang w:val="fr"/>
      </w:rPr>
      <w:t>Annex 3</w:t>
    </w:r>
    <w:r>
      <w:rPr>
        <w:b/>
        <w:bCs/>
        <w:caps/>
        <w:color w:val="FFFFFF" w:themeColor="background1"/>
        <w:sz w:val="40"/>
        <w:szCs w:val="40"/>
        <w:lang w:val="fr"/>
      </w:rPr>
      <w:br/>
    </w:r>
    <w:r w:rsidR="00DA6F13" w:rsidRPr="00A5619A">
      <w:rPr>
        <w:b/>
        <w:bCs/>
        <w:caps/>
        <w:color w:val="FFFFFF" w:themeColor="background1"/>
        <w:sz w:val="40"/>
        <w:szCs w:val="40"/>
        <w:lang w:val="fr"/>
      </w:rPr>
      <w:t>réunion sur la gestion des risques liés aux urgences sanitaires - PRÉVENTION, PRÉPARATION ET INTERVENTION EN CAS D’URGENCES SANITAIRES DANS LE PACIFIQUE, 2018</w:t>
    </w:r>
  </w:p>
  <w:p w14:paraId="7064BA11" w14:textId="57BD5F15" w:rsidR="00647B60" w:rsidRPr="00647B60" w:rsidRDefault="00647B60" w:rsidP="00310E6F">
    <w:pPr>
      <w:pStyle w:val="Header"/>
      <w:jc w:val="right"/>
      <w:rPr>
        <w:color w:val="FFFFFF" w:themeColor="background1"/>
        <w:sz w:val="40"/>
        <w:szCs w:val="40"/>
      </w:rPr>
    </w:pPr>
    <w:r w:rsidRPr="00A5619A">
      <w:rPr>
        <w:b/>
        <w:bCs/>
        <w:color w:val="FFFFFF" w:themeColor="background1"/>
        <w:sz w:val="40"/>
        <w:szCs w:val="40"/>
        <w:lang w:val="fr"/>
      </w:rPr>
      <w:t>CONCLUSIONS ET RECOMMANDATIONS</w:t>
    </w:r>
  </w:p>
  <w:p w14:paraId="7064BA13" w14:textId="64D09C88" w:rsidR="004A558B" w:rsidRDefault="004A55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346A"/>
    <w:multiLevelType w:val="hybridMultilevel"/>
    <w:tmpl w:val="2EFCCC54"/>
    <w:lvl w:ilvl="0" w:tplc="8ED61282">
      <w:start w:val="1"/>
      <w:numFmt w:val="bullet"/>
      <w:lvlText w:val=""/>
      <w:lvlJc w:val="left"/>
      <w:pPr>
        <w:ind w:left="3361" w:hanging="360"/>
      </w:pPr>
      <w:rPr>
        <w:rFonts w:ascii="Symbol" w:hAnsi="Symbol" w:hint="default"/>
        <w:color w:val="365F91" w:themeColor="accent1" w:themeShade="BF"/>
        <w:sz w:val="28"/>
        <w:szCs w:val="28"/>
      </w:rPr>
    </w:lvl>
    <w:lvl w:ilvl="1" w:tplc="08090003" w:tentative="1">
      <w:start w:val="1"/>
      <w:numFmt w:val="bullet"/>
      <w:lvlText w:val="o"/>
      <w:lvlJc w:val="left"/>
      <w:pPr>
        <w:ind w:left="3088" w:hanging="360"/>
      </w:pPr>
      <w:rPr>
        <w:rFonts w:ascii="Courier New" w:hAnsi="Courier New" w:cs="Courier New" w:hint="default"/>
      </w:rPr>
    </w:lvl>
    <w:lvl w:ilvl="2" w:tplc="8ED61282">
      <w:start w:val="1"/>
      <w:numFmt w:val="bullet"/>
      <w:lvlText w:val=""/>
      <w:lvlJc w:val="left"/>
      <w:pPr>
        <w:ind w:left="3808" w:hanging="360"/>
      </w:pPr>
      <w:rPr>
        <w:rFonts w:ascii="Symbol" w:hAnsi="Symbol" w:hint="default"/>
        <w:color w:val="365F91" w:themeColor="accent1" w:themeShade="BF"/>
        <w:sz w:val="28"/>
        <w:szCs w:val="28"/>
      </w:rPr>
    </w:lvl>
    <w:lvl w:ilvl="3" w:tplc="08090001" w:tentative="1">
      <w:start w:val="1"/>
      <w:numFmt w:val="bullet"/>
      <w:lvlText w:val=""/>
      <w:lvlJc w:val="left"/>
      <w:pPr>
        <w:ind w:left="4528" w:hanging="360"/>
      </w:pPr>
      <w:rPr>
        <w:rFonts w:ascii="Symbol" w:hAnsi="Symbol" w:hint="default"/>
      </w:rPr>
    </w:lvl>
    <w:lvl w:ilvl="4" w:tplc="08090003" w:tentative="1">
      <w:start w:val="1"/>
      <w:numFmt w:val="bullet"/>
      <w:lvlText w:val="o"/>
      <w:lvlJc w:val="left"/>
      <w:pPr>
        <w:ind w:left="5248" w:hanging="360"/>
      </w:pPr>
      <w:rPr>
        <w:rFonts w:ascii="Courier New" w:hAnsi="Courier New" w:cs="Courier New" w:hint="default"/>
      </w:rPr>
    </w:lvl>
    <w:lvl w:ilvl="5" w:tplc="08090005" w:tentative="1">
      <w:start w:val="1"/>
      <w:numFmt w:val="bullet"/>
      <w:lvlText w:val=""/>
      <w:lvlJc w:val="left"/>
      <w:pPr>
        <w:ind w:left="5968" w:hanging="360"/>
      </w:pPr>
      <w:rPr>
        <w:rFonts w:ascii="Wingdings" w:hAnsi="Wingdings" w:hint="default"/>
      </w:rPr>
    </w:lvl>
    <w:lvl w:ilvl="6" w:tplc="08090001" w:tentative="1">
      <w:start w:val="1"/>
      <w:numFmt w:val="bullet"/>
      <w:lvlText w:val=""/>
      <w:lvlJc w:val="left"/>
      <w:pPr>
        <w:ind w:left="6688" w:hanging="360"/>
      </w:pPr>
      <w:rPr>
        <w:rFonts w:ascii="Symbol" w:hAnsi="Symbol" w:hint="default"/>
      </w:rPr>
    </w:lvl>
    <w:lvl w:ilvl="7" w:tplc="08090003" w:tentative="1">
      <w:start w:val="1"/>
      <w:numFmt w:val="bullet"/>
      <w:lvlText w:val="o"/>
      <w:lvlJc w:val="left"/>
      <w:pPr>
        <w:ind w:left="7408" w:hanging="360"/>
      </w:pPr>
      <w:rPr>
        <w:rFonts w:ascii="Courier New" w:hAnsi="Courier New" w:cs="Courier New" w:hint="default"/>
      </w:rPr>
    </w:lvl>
    <w:lvl w:ilvl="8" w:tplc="08090005" w:tentative="1">
      <w:start w:val="1"/>
      <w:numFmt w:val="bullet"/>
      <w:lvlText w:val=""/>
      <w:lvlJc w:val="left"/>
      <w:pPr>
        <w:ind w:left="8128" w:hanging="360"/>
      </w:pPr>
      <w:rPr>
        <w:rFonts w:ascii="Wingdings" w:hAnsi="Wingdings" w:hint="default"/>
      </w:rPr>
    </w:lvl>
  </w:abstractNum>
  <w:abstractNum w:abstractNumId="1">
    <w:nsid w:val="16AC0076"/>
    <w:multiLevelType w:val="hybridMultilevel"/>
    <w:tmpl w:val="AC500736"/>
    <w:lvl w:ilvl="0" w:tplc="372268E2">
      <w:start w:val="1"/>
      <w:numFmt w:val="bullet"/>
      <w:lvlText w:val=""/>
      <w:lvlJc w:val="left"/>
      <w:pPr>
        <w:ind w:left="1778" w:hanging="360"/>
      </w:pPr>
      <w:rPr>
        <w:rFonts w:ascii="Symbol" w:hAnsi="Symbol" w:cs="Symbol" w:hint="default"/>
        <w:color w:val="4F6228" w:themeColor="accent3" w:themeShade="80"/>
        <w:sz w:val="28"/>
        <w:szCs w:val="28"/>
      </w:rPr>
    </w:lvl>
    <w:lvl w:ilvl="1" w:tplc="7D686DFA">
      <w:numFmt w:val="bullet"/>
      <w:lvlText w:val="•"/>
      <w:lvlJc w:val="left"/>
      <w:pPr>
        <w:ind w:left="2498" w:hanging="360"/>
      </w:pPr>
      <w:rPr>
        <w:rFonts w:ascii="Calibri" w:eastAsiaTheme="minorHAnsi" w:hAnsi="Calibri" w:cstheme="minorBidi" w:hint="default"/>
        <w:color w:val="365F91" w:themeColor="accent1" w:themeShade="BF"/>
        <w:sz w:val="32"/>
        <w:szCs w:val="32"/>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
    <w:nsid w:val="1DF7444C"/>
    <w:multiLevelType w:val="hybridMultilevel"/>
    <w:tmpl w:val="248C88EE"/>
    <w:lvl w:ilvl="0" w:tplc="AF608D14">
      <w:start w:val="1"/>
      <w:numFmt w:val="decimal"/>
      <w:lvlText w:val="(%1)"/>
      <w:lvlJc w:val="left"/>
      <w:pPr>
        <w:ind w:left="1854" w:hanging="360"/>
      </w:pPr>
      <w:rPr>
        <w:rFonts w:hint="default"/>
        <w:b/>
        <w:bCs/>
        <w:color w:val="1E7FB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143467A"/>
    <w:multiLevelType w:val="hybridMultilevel"/>
    <w:tmpl w:val="18689E70"/>
    <w:lvl w:ilvl="0" w:tplc="8ED61282">
      <w:start w:val="1"/>
      <w:numFmt w:val="bullet"/>
      <w:lvlText w:val=""/>
      <w:lvlJc w:val="left"/>
      <w:pPr>
        <w:ind w:left="720" w:hanging="360"/>
      </w:pPr>
      <w:rPr>
        <w:rFonts w:ascii="Symbol" w:hAnsi="Symbol" w:hint="default"/>
        <w:color w:val="365F91" w:themeColor="accent1" w:themeShade="BF"/>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54E4C1B"/>
    <w:multiLevelType w:val="hybridMultilevel"/>
    <w:tmpl w:val="05749B68"/>
    <w:lvl w:ilvl="0" w:tplc="0F4661F2">
      <w:start w:val="1"/>
      <w:numFmt w:val="decimal"/>
      <w:lvlText w:val="%1."/>
      <w:lvlJc w:val="left"/>
      <w:pPr>
        <w:ind w:left="1854" w:hanging="360"/>
      </w:pPr>
      <w:rPr>
        <w:rFonts w:hint="default"/>
        <w:color w:val="4F6228" w:themeColor="accent3" w:themeShade="80"/>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5">
    <w:nsid w:val="3664529F"/>
    <w:multiLevelType w:val="hybridMultilevel"/>
    <w:tmpl w:val="9F82D0C4"/>
    <w:lvl w:ilvl="0" w:tplc="8ED61282">
      <w:start w:val="1"/>
      <w:numFmt w:val="bullet"/>
      <w:lvlText w:val=""/>
      <w:lvlJc w:val="left"/>
      <w:pPr>
        <w:ind w:left="1778" w:hanging="360"/>
      </w:pPr>
      <w:rPr>
        <w:rFonts w:ascii="Symbol" w:hAnsi="Symbol" w:hint="default"/>
        <w:color w:val="365F91" w:themeColor="accent1" w:themeShade="BF"/>
        <w:sz w:val="28"/>
        <w:szCs w:val="28"/>
      </w:rPr>
    </w:lvl>
    <w:lvl w:ilvl="1" w:tplc="7D686DFA">
      <w:numFmt w:val="bullet"/>
      <w:lvlText w:val="•"/>
      <w:lvlJc w:val="left"/>
      <w:pPr>
        <w:ind w:left="2498" w:hanging="360"/>
      </w:pPr>
      <w:rPr>
        <w:rFonts w:ascii="Calibri" w:eastAsiaTheme="minorHAnsi" w:hAnsi="Calibri" w:cstheme="minorBidi" w:hint="default"/>
        <w:color w:val="365F91" w:themeColor="accent1" w:themeShade="BF"/>
        <w:sz w:val="32"/>
        <w:szCs w:val="32"/>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nsid w:val="3D151FE4"/>
    <w:multiLevelType w:val="hybridMultilevel"/>
    <w:tmpl w:val="0144C770"/>
    <w:lvl w:ilvl="0" w:tplc="4CC0D766">
      <w:numFmt w:val="bullet"/>
      <w:lvlText w:val="•"/>
      <w:lvlJc w:val="left"/>
      <w:pPr>
        <w:ind w:left="1496" w:hanging="360"/>
      </w:pPr>
      <w:rPr>
        <w:rFonts w:ascii="Calibri" w:eastAsia="Myriad Pro" w:hAnsi="Calibri" w:cs="Myriad Pro" w:hint="default"/>
        <w:b/>
        <w:color w:val="044F86"/>
        <w:sz w:val="28"/>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7">
    <w:nsid w:val="50004667"/>
    <w:multiLevelType w:val="hybridMultilevel"/>
    <w:tmpl w:val="22EC2318"/>
    <w:lvl w:ilvl="0" w:tplc="4E3261C8">
      <w:start w:val="1"/>
      <w:numFmt w:val="bullet"/>
      <w:lvlText w:val=""/>
      <w:lvlJc w:val="left"/>
      <w:pPr>
        <w:ind w:left="1713" w:hanging="360"/>
      </w:pPr>
      <w:rPr>
        <w:rFonts w:ascii="Symbol" w:hAnsi="Symbol" w:cs="Symbol" w:hint="default"/>
        <w:color w:val="1E7FB8"/>
        <w:sz w:val="28"/>
        <w:szCs w:val="28"/>
      </w:rPr>
    </w:lvl>
    <w:lvl w:ilvl="1" w:tplc="7D686DFA">
      <w:numFmt w:val="bullet"/>
      <w:lvlText w:val="•"/>
      <w:lvlJc w:val="left"/>
      <w:pPr>
        <w:ind w:left="2433" w:hanging="360"/>
      </w:pPr>
      <w:rPr>
        <w:rFonts w:ascii="Calibri" w:eastAsiaTheme="minorHAnsi" w:hAnsi="Calibri" w:cstheme="minorBidi" w:hint="default"/>
        <w:color w:val="365F91" w:themeColor="accent1" w:themeShade="BF"/>
        <w:sz w:val="32"/>
        <w:szCs w:val="32"/>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8">
    <w:nsid w:val="5C667DBA"/>
    <w:multiLevelType w:val="hybridMultilevel"/>
    <w:tmpl w:val="48426D22"/>
    <w:lvl w:ilvl="0" w:tplc="0C09000F">
      <w:start w:val="1"/>
      <w:numFmt w:val="decimal"/>
      <w:lvlText w:val="%1."/>
      <w:lvlJc w:val="left"/>
      <w:pPr>
        <w:ind w:left="1854" w:hanging="360"/>
      </w:pPr>
      <w:rPr>
        <w:rFonts w:hint="default"/>
        <w:b/>
        <w:bCs/>
        <w:color w:val="1E7FB8"/>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9">
    <w:nsid w:val="5F290072"/>
    <w:multiLevelType w:val="hybridMultilevel"/>
    <w:tmpl w:val="A5AE904E"/>
    <w:lvl w:ilvl="0" w:tplc="8ED61282">
      <w:start w:val="1"/>
      <w:numFmt w:val="bullet"/>
      <w:lvlText w:val=""/>
      <w:lvlJc w:val="left"/>
      <w:pPr>
        <w:ind w:left="3361" w:hanging="360"/>
      </w:pPr>
      <w:rPr>
        <w:rFonts w:ascii="Symbol" w:hAnsi="Symbol" w:hint="default"/>
        <w:color w:val="365F91" w:themeColor="accent1" w:themeShade="BF"/>
        <w:sz w:val="28"/>
        <w:szCs w:val="28"/>
      </w:rPr>
    </w:lvl>
    <w:lvl w:ilvl="1" w:tplc="08090003" w:tentative="1">
      <w:start w:val="1"/>
      <w:numFmt w:val="bullet"/>
      <w:lvlText w:val="o"/>
      <w:lvlJc w:val="left"/>
      <w:pPr>
        <w:ind w:left="3088" w:hanging="360"/>
      </w:pPr>
      <w:rPr>
        <w:rFonts w:ascii="Courier New" w:hAnsi="Courier New" w:cs="Courier New" w:hint="default"/>
      </w:rPr>
    </w:lvl>
    <w:lvl w:ilvl="2" w:tplc="08090005">
      <w:start w:val="1"/>
      <w:numFmt w:val="bullet"/>
      <w:lvlText w:val=""/>
      <w:lvlJc w:val="left"/>
      <w:pPr>
        <w:ind w:left="3808" w:hanging="360"/>
      </w:pPr>
      <w:rPr>
        <w:rFonts w:ascii="Wingdings" w:hAnsi="Wingdings" w:hint="default"/>
      </w:rPr>
    </w:lvl>
    <w:lvl w:ilvl="3" w:tplc="08090001" w:tentative="1">
      <w:start w:val="1"/>
      <w:numFmt w:val="bullet"/>
      <w:lvlText w:val=""/>
      <w:lvlJc w:val="left"/>
      <w:pPr>
        <w:ind w:left="4528" w:hanging="360"/>
      </w:pPr>
      <w:rPr>
        <w:rFonts w:ascii="Symbol" w:hAnsi="Symbol" w:hint="default"/>
      </w:rPr>
    </w:lvl>
    <w:lvl w:ilvl="4" w:tplc="08090003" w:tentative="1">
      <w:start w:val="1"/>
      <w:numFmt w:val="bullet"/>
      <w:lvlText w:val="o"/>
      <w:lvlJc w:val="left"/>
      <w:pPr>
        <w:ind w:left="5248" w:hanging="360"/>
      </w:pPr>
      <w:rPr>
        <w:rFonts w:ascii="Courier New" w:hAnsi="Courier New" w:cs="Courier New" w:hint="default"/>
      </w:rPr>
    </w:lvl>
    <w:lvl w:ilvl="5" w:tplc="08090005" w:tentative="1">
      <w:start w:val="1"/>
      <w:numFmt w:val="bullet"/>
      <w:lvlText w:val=""/>
      <w:lvlJc w:val="left"/>
      <w:pPr>
        <w:ind w:left="5968" w:hanging="360"/>
      </w:pPr>
      <w:rPr>
        <w:rFonts w:ascii="Wingdings" w:hAnsi="Wingdings" w:hint="default"/>
      </w:rPr>
    </w:lvl>
    <w:lvl w:ilvl="6" w:tplc="08090001" w:tentative="1">
      <w:start w:val="1"/>
      <w:numFmt w:val="bullet"/>
      <w:lvlText w:val=""/>
      <w:lvlJc w:val="left"/>
      <w:pPr>
        <w:ind w:left="6688" w:hanging="360"/>
      </w:pPr>
      <w:rPr>
        <w:rFonts w:ascii="Symbol" w:hAnsi="Symbol" w:hint="default"/>
      </w:rPr>
    </w:lvl>
    <w:lvl w:ilvl="7" w:tplc="08090003" w:tentative="1">
      <w:start w:val="1"/>
      <w:numFmt w:val="bullet"/>
      <w:lvlText w:val="o"/>
      <w:lvlJc w:val="left"/>
      <w:pPr>
        <w:ind w:left="7408" w:hanging="360"/>
      </w:pPr>
      <w:rPr>
        <w:rFonts w:ascii="Courier New" w:hAnsi="Courier New" w:cs="Courier New" w:hint="default"/>
      </w:rPr>
    </w:lvl>
    <w:lvl w:ilvl="8" w:tplc="08090005" w:tentative="1">
      <w:start w:val="1"/>
      <w:numFmt w:val="bullet"/>
      <w:lvlText w:val=""/>
      <w:lvlJc w:val="left"/>
      <w:pPr>
        <w:ind w:left="8128" w:hanging="360"/>
      </w:pPr>
      <w:rPr>
        <w:rFonts w:ascii="Wingdings" w:hAnsi="Wingdings" w:hint="default"/>
      </w:rPr>
    </w:lvl>
  </w:abstractNum>
  <w:abstractNum w:abstractNumId="10">
    <w:nsid w:val="606F4EEE"/>
    <w:multiLevelType w:val="hybridMultilevel"/>
    <w:tmpl w:val="7B24A874"/>
    <w:lvl w:ilvl="0" w:tplc="FDFC7662">
      <w:start w:val="1"/>
      <w:numFmt w:val="decimal"/>
      <w:lvlText w:val="(%1)"/>
      <w:lvlJc w:val="left"/>
      <w:pPr>
        <w:ind w:left="720" w:hanging="360"/>
      </w:pPr>
      <w:rPr>
        <w:rFonts w:hint="default"/>
        <w:color w:val="365F91" w:themeColor="accent1" w:themeShade="BF"/>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4B95164"/>
    <w:multiLevelType w:val="hybridMultilevel"/>
    <w:tmpl w:val="22A476B0"/>
    <w:lvl w:ilvl="0" w:tplc="F7C25C4E">
      <w:start w:val="1"/>
      <w:numFmt w:val="decimal"/>
      <w:lvlText w:val="(%1)"/>
      <w:lvlJc w:val="left"/>
      <w:pPr>
        <w:ind w:left="1854" w:hanging="360"/>
      </w:pPr>
      <w:rPr>
        <w:rFonts w:hint="default"/>
        <w:b/>
        <w:bCs/>
        <w:color w:val="1E7FB8"/>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12">
    <w:nsid w:val="6F316CC1"/>
    <w:multiLevelType w:val="hybridMultilevel"/>
    <w:tmpl w:val="306037EE"/>
    <w:lvl w:ilvl="0" w:tplc="17963E4E">
      <w:start w:val="1"/>
      <w:numFmt w:val="bullet"/>
      <w:lvlText w:val=""/>
      <w:lvlJc w:val="left"/>
      <w:pPr>
        <w:ind w:left="1713" w:hanging="360"/>
      </w:pPr>
      <w:rPr>
        <w:rFonts w:ascii="Symbol" w:hAnsi="Symbol" w:cs="Symbol" w:hint="default"/>
        <w:color w:val="E36C0A" w:themeColor="accent6" w:themeShade="BF"/>
        <w:sz w:val="28"/>
        <w:szCs w:val="28"/>
      </w:rPr>
    </w:lvl>
    <w:lvl w:ilvl="1" w:tplc="7D686DFA">
      <w:numFmt w:val="bullet"/>
      <w:lvlText w:val="•"/>
      <w:lvlJc w:val="left"/>
      <w:pPr>
        <w:ind w:left="2433" w:hanging="360"/>
      </w:pPr>
      <w:rPr>
        <w:rFonts w:ascii="Calibri" w:eastAsiaTheme="minorHAnsi" w:hAnsi="Calibri" w:cstheme="minorBidi" w:hint="default"/>
        <w:color w:val="365F91" w:themeColor="accent1" w:themeShade="BF"/>
        <w:sz w:val="32"/>
        <w:szCs w:val="32"/>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3">
    <w:nsid w:val="73F70C2F"/>
    <w:multiLevelType w:val="hybridMultilevel"/>
    <w:tmpl w:val="2E4C9550"/>
    <w:lvl w:ilvl="0" w:tplc="0C09000F">
      <w:start w:val="1"/>
      <w:numFmt w:val="decimal"/>
      <w:lvlText w:val="%1."/>
      <w:lvlJc w:val="left"/>
      <w:pPr>
        <w:ind w:left="1854" w:hanging="360"/>
      </w:pPr>
      <w:rPr>
        <w:rFonts w:hint="default"/>
        <w:b/>
        <w:bCs/>
        <w:color w:val="1E7FB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E8D4B20"/>
    <w:multiLevelType w:val="hybridMultilevel"/>
    <w:tmpl w:val="D386760E"/>
    <w:lvl w:ilvl="0" w:tplc="195A0666">
      <w:start w:val="1"/>
      <w:numFmt w:val="decimal"/>
      <w:lvlText w:val="%1."/>
      <w:lvlJc w:val="left"/>
      <w:pPr>
        <w:ind w:left="1494" w:hanging="360"/>
      </w:pPr>
      <w:rPr>
        <w:rFonts w:hint="default"/>
        <w:b/>
        <w:color w:val="044F86"/>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num w:numId="1">
    <w:abstractNumId w:val="6"/>
  </w:num>
  <w:num w:numId="2">
    <w:abstractNumId w:val="5"/>
  </w:num>
  <w:num w:numId="3">
    <w:abstractNumId w:val="9"/>
  </w:num>
  <w:num w:numId="4">
    <w:abstractNumId w:val="0"/>
  </w:num>
  <w:num w:numId="5">
    <w:abstractNumId w:val="3"/>
  </w:num>
  <w:num w:numId="6">
    <w:abstractNumId w:val="14"/>
  </w:num>
  <w:num w:numId="7">
    <w:abstractNumId w:val="10"/>
  </w:num>
  <w:num w:numId="8">
    <w:abstractNumId w:val="11"/>
  </w:num>
  <w:num w:numId="9">
    <w:abstractNumId w:val="4"/>
  </w:num>
  <w:num w:numId="10">
    <w:abstractNumId w:val="12"/>
  </w:num>
  <w:num w:numId="11">
    <w:abstractNumId w:val="1"/>
  </w:num>
  <w:num w:numId="12">
    <w:abstractNumId w:val="7"/>
  </w:num>
  <w:num w:numId="13">
    <w:abstractNumId w:val="2"/>
  </w:num>
  <w:num w:numId="14">
    <w:abstractNumId w:val="8"/>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52A"/>
    <w:rsid w:val="000003F6"/>
    <w:rsid w:val="000268D7"/>
    <w:rsid w:val="000723D3"/>
    <w:rsid w:val="000B73BD"/>
    <w:rsid w:val="00126EC5"/>
    <w:rsid w:val="00137704"/>
    <w:rsid w:val="00143A98"/>
    <w:rsid w:val="00161970"/>
    <w:rsid w:val="001D29A7"/>
    <w:rsid w:val="001E1B5F"/>
    <w:rsid w:val="00207E49"/>
    <w:rsid w:val="00222819"/>
    <w:rsid w:val="00234481"/>
    <w:rsid w:val="00237099"/>
    <w:rsid w:val="00254679"/>
    <w:rsid w:val="00265F75"/>
    <w:rsid w:val="002A3729"/>
    <w:rsid w:val="002B1345"/>
    <w:rsid w:val="002E5A9C"/>
    <w:rsid w:val="00310E6F"/>
    <w:rsid w:val="00333144"/>
    <w:rsid w:val="00393BC8"/>
    <w:rsid w:val="003A6051"/>
    <w:rsid w:val="003A6CD1"/>
    <w:rsid w:val="003E35E4"/>
    <w:rsid w:val="003F1E78"/>
    <w:rsid w:val="00413968"/>
    <w:rsid w:val="004168C0"/>
    <w:rsid w:val="00433476"/>
    <w:rsid w:val="00435538"/>
    <w:rsid w:val="004719B9"/>
    <w:rsid w:val="004A558B"/>
    <w:rsid w:val="004B3F89"/>
    <w:rsid w:val="004F2C71"/>
    <w:rsid w:val="005241A0"/>
    <w:rsid w:val="005375CD"/>
    <w:rsid w:val="005702FC"/>
    <w:rsid w:val="0057260C"/>
    <w:rsid w:val="00572E92"/>
    <w:rsid w:val="0057414A"/>
    <w:rsid w:val="00577237"/>
    <w:rsid w:val="00615F69"/>
    <w:rsid w:val="00647A20"/>
    <w:rsid w:val="00647B60"/>
    <w:rsid w:val="006551B8"/>
    <w:rsid w:val="0066605A"/>
    <w:rsid w:val="00672754"/>
    <w:rsid w:val="006A14B0"/>
    <w:rsid w:val="007125BE"/>
    <w:rsid w:val="0072770E"/>
    <w:rsid w:val="00766814"/>
    <w:rsid w:val="007F69B5"/>
    <w:rsid w:val="00801F5C"/>
    <w:rsid w:val="00807DDB"/>
    <w:rsid w:val="0083443B"/>
    <w:rsid w:val="008664CE"/>
    <w:rsid w:val="008749B6"/>
    <w:rsid w:val="008C1DE5"/>
    <w:rsid w:val="008E4577"/>
    <w:rsid w:val="008F6081"/>
    <w:rsid w:val="00916706"/>
    <w:rsid w:val="00917BA0"/>
    <w:rsid w:val="0093161C"/>
    <w:rsid w:val="00964637"/>
    <w:rsid w:val="009A4CFA"/>
    <w:rsid w:val="009B0E2A"/>
    <w:rsid w:val="009B2AE6"/>
    <w:rsid w:val="009C6FAA"/>
    <w:rsid w:val="009E1795"/>
    <w:rsid w:val="009E6D9B"/>
    <w:rsid w:val="009F1AB8"/>
    <w:rsid w:val="009F7471"/>
    <w:rsid w:val="00A5619A"/>
    <w:rsid w:val="00A63AB4"/>
    <w:rsid w:val="00A90C0A"/>
    <w:rsid w:val="00A93040"/>
    <w:rsid w:val="00AA1C7E"/>
    <w:rsid w:val="00AE46E8"/>
    <w:rsid w:val="00AE71C8"/>
    <w:rsid w:val="00AF5911"/>
    <w:rsid w:val="00AF7A0E"/>
    <w:rsid w:val="00B17F22"/>
    <w:rsid w:val="00B26009"/>
    <w:rsid w:val="00B34CF9"/>
    <w:rsid w:val="00B51A45"/>
    <w:rsid w:val="00B67565"/>
    <w:rsid w:val="00BA730E"/>
    <w:rsid w:val="00BE1C6A"/>
    <w:rsid w:val="00C1615A"/>
    <w:rsid w:val="00C44951"/>
    <w:rsid w:val="00C6649C"/>
    <w:rsid w:val="00C8123B"/>
    <w:rsid w:val="00C97FA0"/>
    <w:rsid w:val="00CB02A2"/>
    <w:rsid w:val="00CD03AD"/>
    <w:rsid w:val="00CF652A"/>
    <w:rsid w:val="00D10976"/>
    <w:rsid w:val="00D16AD6"/>
    <w:rsid w:val="00D17073"/>
    <w:rsid w:val="00D30ADF"/>
    <w:rsid w:val="00D70045"/>
    <w:rsid w:val="00D7569F"/>
    <w:rsid w:val="00D76135"/>
    <w:rsid w:val="00D85347"/>
    <w:rsid w:val="00D94DA3"/>
    <w:rsid w:val="00DA6F13"/>
    <w:rsid w:val="00DC4779"/>
    <w:rsid w:val="00DD0EF6"/>
    <w:rsid w:val="00E01ED6"/>
    <w:rsid w:val="00E0587E"/>
    <w:rsid w:val="00E126B4"/>
    <w:rsid w:val="00E15CAC"/>
    <w:rsid w:val="00E308FD"/>
    <w:rsid w:val="00E50185"/>
    <w:rsid w:val="00E64816"/>
    <w:rsid w:val="00E7364D"/>
    <w:rsid w:val="00E82E1E"/>
    <w:rsid w:val="00E856FE"/>
    <w:rsid w:val="00EC1281"/>
    <w:rsid w:val="00EC1753"/>
    <w:rsid w:val="00EC2639"/>
    <w:rsid w:val="00EC5230"/>
    <w:rsid w:val="00F06C5A"/>
    <w:rsid w:val="00F852F2"/>
    <w:rsid w:val="00FB6E09"/>
    <w:rsid w:val="00FE5C2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064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4816"/>
    <w:pPr>
      <w:spacing w:line="240" w:lineRule="auto"/>
    </w:pPr>
  </w:style>
  <w:style w:type="paragraph" w:styleId="Heading1">
    <w:name w:val="heading 1"/>
    <w:basedOn w:val="Normal"/>
    <w:next w:val="Normal"/>
    <w:link w:val="Heading1Char"/>
    <w:uiPriority w:val="9"/>
    <w:qFormat/>
    <w:rsid w:val="00E15CAC"/>
    <w:pPr>
      <w:keepNext/>
      <w:jc w:val="center"/>
      <w:outlineLvl w:val="0"/>
    </w:pPr>
    <w:rPr>
      <w:color w:val="FFFFFF" w:themeColor="background1"/>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5A9C"/>
    <w:pPr>
      <w:ind w:left="720"/>
      <w:contextualSpacing/>
    </w:pPr>
  </w:style>
  <w:style w:type="paragraph" w:styleId="BalloonText">
    <w:name w:val="Balloon Text"/>
    <w:basedOn w:val="Normal"/>
    <w:link w:val="BalloonTextChar"/>
    <w:uiPriority w:val="99"/>
    <w:semiHidden/>
    <w:unhideWhenUsed/>
    <w:rsid w:val="00B6756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7565"/>
    <w:rPr>
      <w:rFonts w:ascii="Tahoma" w:hAnsi="Tahoma" w:cs="Tahoma"/>
      <w:sz w:val="16"/>
      <w:szCs w:val="16"/>
    </w:rPr>
  </w:style>
  <w:style w:type="paragraph" w:styleId="NoSpacing">
    <w:name w:val="No Spacing"/>
    <w:uiPriority w:val="1"/>
    <w:qFormat/>
    <w:rsid w:val="00AE71C8"/>
    <w:pPr>
      <w:spacing w:after="0" w:line="240" w:lineRule="auto"/>
    </w:pPr>
  </w:style>
  <w:style w:type="character" w:customStyle="1" w:styleId="Heading1Char">
    <w:name w:val="Heading 1 Char"/>
    <w:basedOn w:val="DefaultParagraphFont"/>
    <w:link w:val="Heading1"/>
    <w:uiPriority w:val="9"/>
    <w:rsid w:val="00E15CAC"/>
    <w:rPr>
      <w:color w:val="FFFFFF" w:themeColor="background1"/>
      <w:sz w:val="28"/>
      <w:szCs w:val="28"/>
      <w:lang w:val="en-GB"/>
    </w:rPr>
  </w:style>
  <w:style w:type="paragraph" w:styleId="BlockText">
    <w:name w:val="Block Text"/>
    <w:basedOn w:val="Normal"/>
    <w:uiPriority w:val="99"/>
    <w:unhideWhenUsed/>
    <w:rsid w:val="00E15CAC"/>
    <w:pPr>
      <w:spacing w:after="120"/>
      <w:ind w:left="992" w:right="1094"/>
      <w:jc w:val="both"/>
    </w:pPr>
  </w:style>
  <w:style w:type="paragraph" w:styleId="Header">
    <w:name w:val="header"/>
    <w:basedOn w:val="Normal"/>
    <w:link w:val="HeaderChar"/>
    <w:uiPriority w:val="99"/>
    <w:unhideWhenUsed/>
    <w:rsid w:val="0057414A"/>
    <w:pPr>
      <w:tabs>
        <w:tab w:val="center" w:pos="4513"/>
        <w:tab w:val="right" w:pos="9026"/>
      </w:tabs>
      <w:spacing w:after="0"/>
    </w:pPr>
  </w:style>
  <w:style w:type="character" w:customStyle="1" w:styleId="HeaderChar">
    <w:name w:val="Header Char"/>
    <w:basedOn w:val="DefaultParagraphFont"/>
    <w:link w:val="Header"/>
    <w:uiPriority w:val="99"/>
    <w:rsid w:val="0057414A"/>
  </w:style>
  <w:style w:type="paragraph" w:styleId="Footer">
    <w:name w:val="footer"/>
    <w:basedOn w:val="Normal"/>
    <w:link w:val="FooterChar"/>
    <w:uiPriority w:val="99"/>
    <w:unhideWhenUsed/>
    <w:rsid w:val="0057414A"/>
    <w:pPr>
      <w:tabs>
        <w:tab w:val="center" w:pos="4513"/>
        <w:tab w:val="right" w:pos="9026"/>
      </w:tabs>
      <w:spacing w:after="0"/>
    </w:pPr>
  </w:style>
  <w:style w:type="character" w:customStyle="1" w:styleId="FooterChar">
    <w:name w:val="Footer Char"/>
    <w:basedOn w:val="DefaultParagraphFont"/>
    <w:link w:val="Footer"/>
    <w:uiPriority w:val="99"/>
    <w:rsid w:val="0057414A"/>
  </w:style>
  <w:style w:type="character" w:styleId="CommentReference">
    <w:name w:val="annotation reference"/>
    <w:basedOn w:val="DefaultParagraphFont"/>
    <w:uiPriority w:val="99"/>
    <w:semiHidden/>
    <w:unhideWhenUsed/>
    <w:rsid w:val="008E4577"/>
    <w:rPr>
      <w:sz w:val="16"/>
      <w:szCs w:val="16"/>
    </w:rPr>
  </w:style>
  <w:style w:type="paragraph" w:styleId="CommentText">
    <w:name w:val="annotation text"/>
    <w:basedOn w:val="Normal"/>
    <w:link w:val="CommentTextChar"/>
    <w:uiPriority w:val="99"/>
    <w:semiHidden/>
    <w:unhideWhenUsed/>
    <w:rsid w:val="008E4577"/>
    <w:rPr>
      <w:sz w:val="20"/>
      <w:szCs w:val="20"/>
    </w:rPr>
  </w:style>
  <w:style w:type="character" w:customStyle="1" w:styleId="CommentTextChar">
    <w:name w:val="Comment Text Char"/>
    <w:basedOn w:val="DefaultParagraphFont"/>
    <w:link w:val="CommentText"/>
    <w:uiPriority w:val="99"/>
    <w:semiHidden/>
    <w:rsid w:val="008E4577"/>
    <w:rPr>
      <w:sz w:val="20"/>
      <w:szCs w:val="20"/>
    </w:rPr>
  </w:style>
  <w:style w:type="paragraph" w:styleId="CommentSubject">
    <w:name w:val="annotation subject"/>
    <w:basedOn w:val="CommentText"/>
    <w:next w:val="CommentText"/>
    <w:link w:val="CommentSubjectChar"/>
    <w:uiPriority w:val="99"/>
    <w:semiHidden/>
    <w:unhideWhenUsed/>
    <w:rsid w:val="008E4577"/>
    <w:rPr>
      <w:b/>
      <w:bCs/>
    </w:rPr>
  </w:style>
  <w:style w:type="character" w:customStyle="1" w:styleId="CommentSubjectChar">
    <w:name w:val="Comment Subject Char"/>
    <w:basedOn w:val="CommentTextChar"/>
    <w:link w:val="CommentSubject"/>
    <w:uiPriority w:val="99"/>
    <w:semiHidden/>
    <w:rsid w:val="008E4577"/>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4816"/>
    <w:pPr>
      <w:spacing w:line="240" w:lineRule="auto"/>
    </w:pPr>
  </w:style>
  <w:style w:type="paragraph" w:styleId="Heading1">
    <w:name w:val="heading 1"/>
    <w:basedOn w:val="Normal"/>
    <w:next w:val="Normal"/>
    <w:link w:val="Heading1Char"/>
    <w:uiPriority w:val="9"/>
    <w:qFormat/>
    <w:rsid w:val="00E15CAC"/>
    <w:pPr>
      <w:keepNext/>
      <w:jc w:val="center"/>
      <w:outlineLvl w:val="0"/>
    </w:pPr>
    <w:rPr>
      <w:color w:val="FFFFFF" w:themeColor="background1"/>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5A9C"/>
    <w:pPr>
      <w:ind w:left="720"/>
      <w:contextualSpacing/>
    </w:pPr>
  </w:style>
  <w:style w:type="paragraph" w:styleId="BalloonText">
    <w:name w:val="Balloon Text"/>
    <w:basedOn w:val="Normal"/>
    <w:link w:val="BalloonTextChar"/>
    <w:uiPriority w:val="99"/>
    <w:semiHidden/>
    <w:unhideWhenUsed/>
    <w:rsid w:val="00B6756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7565"/>
    <w:rPr>
      <w:rFonts w:ascii="Tahoma" w:hAnsi="Tahoma" w:cs="Tahoma"/>
      <w:sz w:val="16"/>
      <w:szCs w:val="16"/>
    </w:rPr>
  </w:style>
  <w:style w:type="paragraph" w:styleId="NoSpacing">
    <w:name w:val="No Spacing"/>
    <w:uiPriority w:val="1"/>
    <w:qFormat/>
    <w:rsid w:val="00AE71C8"/>
    <w:pPr>
      <w:spacing w:after="0" w:line="240" w:lineRule="auto"/>
    </w:pPr>
  </w:style>
  <w:style w:type="character" w:customStyle="1" w:styleId="Heading1Char">
    <w:name w:val="Heading 1 Char"/>
    <w:basedOn w:val="DefaultParagraphFont"/>
    <w:link w:val="Heading1"/>
    <w:uiPriority w:val="9"/>
    <w:rsid w:val="00E15CAC"/>
    <w:rPr>
      <w:color w:val="FFFFFF" w:themeColor="background1"/>
      <w:sz w:val="28"/>
      <w:szCs w:val="28"/>
      <w:lang w:val="en-GB"/>
    </w:rPr>
  </w:style>
  <w:style w:type="paragraph" w:styleId="BlockText">
    <w:name w:val="Block Text"/>
    <w:basedOn w:val="Normal"/>
    <w:uiPriority w:val="99"/>
    <w:unhideWhenUsed/>
    <w:rsid w:val="00E15CAC"/>
    <w:pPr>
      <w:spacing w:after="120"/>
      <w:ind w:left="992" w:right="1094"/>
      <w:jc w:val="both"/>
    </w:pPr>
  </w:style>
  <w:style w:type="paragraph" w:styleId="Header">
    <w:name w:val="header"/>
    <w:basedOn w:val="Normal"/>
    <w:link w:val="HeaderChar"/>
    <w:uiPriority w:val="99"/>
    <w:unhideWhenUsed/>
    <w:rsid w:val="0057414A"/>
    <w:pPr>
      <w:tabs>
        <w:tab w:val="center" w:pos="4513"/>
        <w:tab w:val="right" w:pos="9026"/>
      </w:tabs>
      <w:spacing w:after="0"/>
    </w:pPr>
  </w:style>
  <w:style w:type="character" w:customStyle="1" w:styleId="HeaderChar">
    <w:name w:val="Header Char"/>
    <w:basedOn w:val="DefaultParagraphFont"/>
    <w:link w:val="Header"/>
    <w:uiPriority w:val="99"/>
    <w:rsid w:val="0057414A"/>
  </w:style>
  <w:style w:type="paragraph" w:styleId="Footer">
    <w:name w:val="footer"/>
    <w:basedOn w:val="Normal"/>
    <w:link w:val="FooterChar"/>
    <w:uiPriority w:val="99"/>
    <w:unhideWhenUsed/>
    <w:rsid w:val="0057414A"/>
    <w:pPr>
      <w:tabs>
        <w:tab w:val="center" w:pos="4513"/>
        <w:tab w:val="right" w:pos="9026"/>
      </w:tabs>
      <w:spacing w:after="0"/>
    </w:pPr>
  </w:style>
  <w:style w:type="character" w:customStyle="1" w:styleId="FooterChar">
    <w:name w:val="Footer Char"/>
    <w:basedOn w:val="DefaultParagraphFont"/>
    <w:link w:val="Footer"/>
    <w:uiPriority w:val="99"/>
    <w:rsid w:val="0057414A"/>
  </w:style>
  <w:style w:type="character" w:styleId="CommentReference">
    <w:name w:val="annotation reference"/>
    <w:basedOn w:val="DefaultParagraphFont"/>
    <w:uiPriority w:val="99"/>
    <w:semiHidden/>
    <w:unhideWhenUsed/>
    <w:rsid w:val="008E4577"/>
    <w:rPr>
      <w:sz w:val="16"/>
      <w:szCs w:val="16"/>
    </w:rPr>
  </w:style>
  <w:style w:type="paragraph" w:styleId="CommentText">
    <w:name w:val="annotation text"/>
    <w:basedOn w:val="Normal"/>
    <w:link w:val="CommentTextChar"/>
    <w:uiPriority w:val="99"/>
    <w:semiHidden/>
    <w:unhideWhenUsed/>
    <w:rsid w:val="008E4577"/>
    <w:rPr>
      <w:sz w:val="20"/>
      <w:szCs w:val="20"/>
    </w:rPr>
  </w:style>
  <w:style w:type="character" w:customStyle="1" w:styleId="CommentTextChar">
    <w:name w:val="Comment Text Char"/>
    <w:basedOn w:val="DefaultParagraphFont"/>
    <w:link w:val="CommentText"/>
    <w:uiPriority w:val="99"/>
    <w:semiHidden/>
    <w:rsid w:val="008E4577"/>
    <w:rPr>
      <w:sz w:val="20"/>
      <w:szCs w:val="20"/>
    </w:rPr>
  </w:style>
  <w:style w:type="paragraph" w:styleId="CommentSubject">
    <w:name w:val="annotation subject"/>
    <w:basedOn w:val="CommentText"/>
    <w:next w:val="CommentText"/>
    <w:link w:val="CommentSubjectChar"/>
    <w:uiPriority w:val="99"/>
    <w:semiHidden/>
    <w:unhideWhenUsed/>
    <w:rsid w:val="008E4577"/>
    <w:rPr>
      <w:b/>
      <w:bCs/>
    </w:rPr>
  </w:style>
  <w:style w:type="character" w:customStyle="1" w:styleId="CommentSubjectChar">
    <w:name w:val="Comment Subject Char"/>
    <w:basedOn w:val="CommentTextChar"/>
    <w:link w:val="CommentSubject"/>
    <w:uiPriority w:val="99"/>
    <w:semiHidden/>
    <w:rsid w:val="008E457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775C89DDD6047E692338E2E63AE2040"/>
        <w:category>
          <w:name w:val="General"/>
          <w:gallery w:val="placeholder"/>
        </w:category>
        <w:types>
          <w:type w:val="bbPlcHdr"/>
        </w:types>
        <w:behaviors>
          <w:behavior w:val="content"/>
        </w:behaviors>
        <w:guid w:val="{1395D8A0-B7FD-4EF1-AE02-A771AC859F66}"/>
      </w:docPartPr>
      <w:docPartBody>
        <w:p w:rsidR="0015476F" w:rsidRDefault="003F5D7D" w:rsidP="003F5D7D">
          <w:pPr>
            <w:pStyle w:val="B775C89DDD6047E692338E2E63AE2040"/>
          </w:pPr>
          <w:r>
            <w:t>[Type the company name]</w:t>
          </w:r>
        </w:p>
      </w:docPartBody>
    </w:docPart>
    <w:docPart>
      <w:docPartPr>
        <w:name w:val="4D7DB9D841B54AD58835E5CD9E9C90B6"/>
        <w:category>
          <w:name w:val="General"/>
          <w:gallery w:val="placeholder"/>
        </w:category>
        <w:types>
          <w:type w:val="bbPlcHdr"/>
        </w:types>
        <w:behaviors>
          <w:behavior w:val="content"/>
        </w:behaviors>
        <w:guid w:val="{4BB2E9D8-58BF-4AA1-8C96-258F2C89286B}"/>
      </w:docPartPr>
      <w:docPartBody>
        <w:p w:rsidR="0015476F" w:rsidRDefault="003F5D7D" w:rsidP="003F5D7D">
          <w:pPr>
            <w:pStyle w:val="4D7DB9D841B54AD58835E5CD9E9C90B6"/>
          </w:pPr>
          <w:r>
            <w:t>[Type the company name]</w:t>
          </w:r>
        </w:p>
      </w:docPartBody>
    </w:docPart>
    <w:docPart>
      <w:docPartPr>
        <w:name w:val="0E01EE1BC4E44205A5FBB5586299096F"/>
        <w:category>
          <w:name w:val="General"/>
          <w:gallery w:val="placeholder"/>
        </w:category>
        <w:types>
          <w:type w:val="bbPlcHdr"/>
        </w:types>
        <w:behaviors>
          <w:behavior w:val="content"/>
        </w:behaviors>
        <w:guid w:val="{D87FCEA9-96FF-40A3-912B-3BCD1AF811A5}"/>
      </w:docPartPr>
      <w:docPartBody>
        <w:p w:rsidR="0015476F" w:rsidRDefault="003F5D7D" w:rsidP="003F5D7D">
          <w:pPr>
            <w:pStyle w:val="0E01EE1BC4E44205A5FBB5586299096F"/>
          </w:pPr>
          <w:r>
            <w:t>[Type the company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yriad Pro">
    <w:altName w:val="Arial"/>
    <w:panose1 w:val="00000000000000000000"/>
    <w:charset w:val="00"/>
    <w:family w:val="swiss"/>
    <w:notTrueType/>
    <w:pitch w:val="variable"/>
    <w:sig w:usb0="2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D7D"/>
    <w:rsid w:val="0015476F"/>
    <w:rsid w:val="003F38F4"/>
    <w:rsid w:val="003F5D7D"/>
    <w:rsid w:val="00400684"/>
    <w:rsid w:val="005901D0"/>
    <w:rsid w:val="00AB59BE"/>
    <w:rsid w:val="00E03F06"/>
    <w:rsid w:val="00E23AFF"/>
    <w:rsid w:val="00FA745C"/>
    <w:rsid w:val="00FD09D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62CCB9FC5214E36B1F165D1FC327390">
    <w:name w:val="F62CCB9FC5214E36B1F165D1FC327390"/>
    <w:rsid w:val="003F5D7D"/>
  </w:style>
  <w:style w:type="paragraph" w:customStyle="1" w:styleId="B775C89DDD6047E692338E2E63AE2040">
    <w:name w:val="B775C89DDD6047E692338E2E63AE2040"/>
    <w:rsid w:val="003F5D7D"/>
  </w:style>
  <w:style w:type="paragraph" w:customStyle="1" w:styleId="4D7DB9D841B54AD58835E5CD9E9C90B6">
    <w:name w:val="4D7DB9D841B54AD58835E5CD9E9C90B6"/>
    <w:rsid w:val="003F5D7D"/>
  </w:style>
  <w:style w:type="paragraph" w:customStyle="1" w:styleId="0E01EE1BC4E44205A5FBB5586299096F">
    <w:name w:val="0E01EE1BC4E44205A5FBB5586299096F"/>
    <w:rsid w:val="003F5D7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62CCB9FC5214E36B1F165D1FC327390">
    <w:name w:val="F62CCB9FC5214E36B1F165D1FC327390"/>
    <w:rsid w:val="003F5D7D"/>
  </w:style>
  <w:style w:type="paragraph" w:customStyle="1" w:styleId="B775C89DDD6047E692338E2E63AE2040">
    <w:name w:val="B775C89DDD6047E692338E2E63AE2040"/>
    <w:rsid w:val="003F5D7D"/>
  </w:style>
  <w:style w:type="paragraph" w:customStyle="1" w:styleId="4D7DB9D841B54AD58835E5CD9E9C90B6">
    <w:name w:val="4D7DB9D841B54AD58835E5CD9E9C90B6"/>
    <w:rsid w:val="003F5D7D"/>
  </w:style>
  <w:style w:type="paragraph" w:customStyle="1" w:styleId="0E01EE1BC4E44205A5FBB5586299096F">
    <w:name w:val="0E01EE1BC4E44205A5FBB5586299096F"/>
    <w:rsid w:val="003F5D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51d97ad5-e5f0-4885-8285-9f067866f88e" xsi:nil="true"/>
    <Subcategory xmlns="51d97ad5-e5f0-4885-8285-9f067866f88e" xsi:nil="true"/>
    <Category1 xmlns="51d97ad5-e5f0-4885-8285-9f067866f88e">MAC Templates</Category1>
    <Region xmlns="51d97ad5-e5f0-4885-8285-9f067866f88e">WP</Region>
    <Classification xmlns="51d97ad5-e5f0-4885-8285-9f067866f88e" xsi:nil="true"/>
    <Division xmlns="51d97ad5-e5f0-4885-8285-9f067866f88e">DPM</Division>
    <WP-Office xmlns="51d97ad5-e5f0-4885-8285-9f067866f88e">WPRO</WP-Office>
    <_dlc_DocId xmlns="51d97ad5-e5f0-4885-8285-9f067866f88e">WPWPR-179-62</_dlc_DocId>
    <Programme_x0020_or_x0020_projects xmlns="51d97ad5-e5f0-4885-8285-9f067866f88e" xsi:nil="true"/>
    <Unit xmlns="51d97ad5-e5f0-4885-8285-9f067866f88e">MAC</Unit>
    <MeetingDate xmlns="f66e0118-e72c-463a-9f43-e96eb7794195">2016-04-11T16:00:00+00:00</MeetingDate>
    <_dlc_DocIdUrl xmlns="51d97ad5-e5f0-4885-8285-9f067866f88e">
      <Url>https://intranet.wpro.who.int/homes/mac/_layouts/DocIdRedir.aspx?ID=WPWPR-179-62</Url>
      <Description>WPWPR-179-62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WPRO Document" ma:contentTypeID="0x010100D34CEE1D9812034F9F1BB0AC1F1DE4390013594E4EBFF1434CBCC0BD3551C29E46" ma:contentTypeVersion="34" ma:contentTypeDescription="Create a new document." ma:contentTypeScope="" ma:versionID="702fe2293318a4b8d08e0e0edef78e4e">
  <xsd:schema xmlns:xsd="http://www.w3.org/2001/XMLSchema" xmlns:xs="http://www.w3.org/2001/XMLSchema" xmlns:p="http://schemas.microsoft.com/office/2006/metadata/properties" xmlns:ns3="51d97ad5-e5f0-4885-8285-9f067866f88e" xmlns:ns4="f66e0118-e72c-463a-9f43-e96eb7794195" targetNamespace="http://schemas.microsoft.com/office/2006/metadata/properties" ma:root="true" ma:fieldsID="d06b02271351676237d0aa944ea50f87" ns3:_="" ns4:_="">
    <xsd:import namespace="51d97ad5-e5f0-4885-8285-9f067866f88e"/>
    <xsd:import namespace="f66e0118-e72c-463a-9f43-e96eb7794195"/>
    <xsd:element name="properties">
      <xsd:complexType>
        <xsd:sequence>
          <xsd:element name="documentManagement">
            <xsd:complexType>
              <xsd:all>
                <xsd:element ref="ns3:Section" minOccurs="0"/>
                <xsd:element ref="ns3:Category1" minOccurs="0"/>
                <xsd:element ref="ns3:Subcategory" minOccurs="0"/>
                <xsd:element ref="ns3:Classification" minOccurs="0"/>
                <xsd:element ref="ns3:Programme_x0020_or_x0020_projects" minOccurs="0"/>
                <xsd:element ref="ns3:Region"/>
                <xsd:element ref="ns3:WP-Office" minOccurs="0"/>
                <xsd:element ref="ns3:Division" minOccurs="0"/>
                <xsd:element ref="ns3:Unit" minOccurs="0"/>
                <xsd:element ref="ns3:_dlc_DocId" minOccurs="0"/>
                <xsd:element ref="ns3:_dlc_DocIdUrl" minOccurs="0"/>
                <xsd:element ref="ns3:_dlc_DocIdPersistId" minOccurs="0"/>
                <xsd:element ref="ns4:Meeting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97ad5-e5f0-4885-8285-9f067866f88e" elementFormDefault="qualified">
    <xsd:import namespace="http://schemas.microsoft.com/office/2006/documentManagement/types"/>
    <xsd:import namespace="http://schemas.microsoft.com/office/infopath/2007/PartnerControls"/>
    <xsd:element name="Section" ma:index="3" nillable="true" ma:displayName="Section" ma:description="" ma:format="Dropdown" ma:hidden="true" ma:internalName="Section" ma:readOnly="false">
      <xsd:simpleType>
        <xsd:union memberTypes="dms:Text">
          <xsd:simpleType>
            <xsd:restriction base="dms:Choice">
              <xsd:enumeration value="Enter Choice #1"/>
              <xsd:enumeration value="Enter Choice #2"/>
              <xsd:enumeration value="Enter Choice #3"/>
            </xsd:restriction>
          </xsd:simpleType>
        </xsd:union>
      </xsd:simpleType>
    </xsd:element>
    <xsd:element name="Category1" ma:index="4" nillable="true" ma:displayName="Category" ma:description="" ma:format="Dropdown" ma:internalName="Category1">
      <xsd:simpleType>
        <xsd:restriction base="dms:Choice">
          <xsd:enumeration value="MAC Net"/>
          <xsd:enumeration value="MAC Templates"/>
          <xsd:enumeration value="SPMC Minutes"/>
          <xsd:enumeration value="Approved Planning Documents"/>
        </xsd:restriction>
      </xsd:simpleType>
    </xsd:element>
    <xsd:element name="Subcategory" ma:index="5" nillable="true" ma:displayName="Subcategory" ma:description="" ma:format="Dropdown" ma:hidden="true" ma:internalName="Subcategory" ma:readOnly="false">
      <xsd:simpleType>
        <xsd:union memberTypes="dms:Text">
          <xsd:simpleType>
            <xsd:restriction base="dms:Choice">
              <xsd:enumeration value="Enter Choice #1"/>
              <xsd:enumeration value="Enter Choice #2"/>
              <xsd:enumeration value="Enter Choice #3"/>
            </xsd:restriction>
          </xsd:simpleType>
        </xsd:union>
      </xsd:simpleType>
    </xsd:element>
    <xsd:element name="Classification" ma:index="6" nillable="true" ma:displayName="Classification" ma:description="" ma:format="Dropdown" ma:hidden="true" ma:internalName="Classification" ma:readOnly="false">
      <xsd:simpleType>
        <xsd:union memberTypes="dms:Text">
          <xsd:simpleType>
            <xsd:restriction base="dms:Choice">
              <xsd:enumeration value="Policy"/>
              <xsd:enumeration value="Memo"/>
              <xsd:enumeration value="Letter"/>
              <xsd:enumeration value="Mission report"/>
              <xsd:enumeration value="Meeting report"/>
            </xsd:restriction>
          </xsd:simpleType>
        </xsd:union>
      </xsd:simpleType>
    </xsd:element>
    <xsd:element name="Programme_x0020_or_x0020_projects" ma:index="7" nillable="true" ma:displayName="Programme or projects" ma:description="" ma:format="Dropdown" ma:hidden="true" ma:internalName="Programme_x0020_or_x0020_projects" ma:readOnly="false">
      <xsd:simpleType>
        <xsd:union memberTypes="dms:Text">
          <xsd:simpleType>
            <xsd:restriction base="dms:Choice">
              <xsd:enumeration value="Combating communicable diseases"/>
              <xsd:enumeration value="Expanded programme on immunization"/>
              <xsd:enumeration value="Malaria, other vectorborne and parasitic diseases"/>
              <xsd:enumeration value="HIV/AIDS and sexually transmitted infections"/>
              <xsd:enumeration value="Stop tuberculosis"/>
              <xsd:enumeration value="Leprosy elimination"/>
              <xsd:enumeration value="Health security and emergencies"/>
              <xsd:enumeration value="Emerging disease surveillance and response"/>
              <xsd:enumeration value="Emergency and humanitarian action"/>
              <xsd:enumeration value="Food safety"/>
              <xsd:enumeration value="Building healthy communities and populations"/>
              <xsd:enumeration value="Child and adolescent health"/>
              <xsd:enumeration value="Environmental health"/>
              <xsd:enumeration value="Health promotion"/>
              <xsd:enumeration value="Reproductive health"/>
              <xsd:enumeration value="Nutrition"/>
              <xsd:enumeration value="Noncommunicable diseases"/>
              <xsd:enumeration value="Mental health and injury prevention"/>
              <xsd:enumeration value="Tobacco free initiative"/>
              <xsd:enumeration value="Health sector development"/>
              <xsd:enumeration value="Health services development"/>
              <xsd:enumeration value="Health financing and social protection"/>
              <xsd:enumeration value="Human resources for health"/>
              <xsd:enumeration value="Essential medicines and pharmaceuticals policy"/>
              <xsd:enumeration value="Health technology and laboratory"/>
              <xsd:enumeration value="Traditional medicine"/>
              <xsd:enumeration value="Health information, evidence and research"/>
              <xsd:enumeration value="Health research"/>
            </xsd:restriction>
          </xsd:simpleType>
        </xsd:union>
      </xsd:simpleType>
    </xsd:element>
    <xsd:element name="Region" ma:index="9" ma:displayName="Region" ma:default="WP" ma:description="" ma:format="Dropdown" ma:internalName="Region" ma:readOnly="false">
      <xsd:simpleType>
        <xsd:restriction base="dms:Choice">
          <xsd:enumeration value="WP"/>
        </xsd:restriction>
      </xsd:simpleType>
    </xsd:element>
    <xsd:element name="WP-Office" ma:index="10" nillable="true" ma:displayName="Office" ma:default="WPRO" ma:description="" ma:format="Dropdown" ma:internalName="WP_x002d_Office">
      <xsd:simpleType>
        <xsd:restriction base="dms:Choice">
          <xsd:enumeration value="WPRO"/>
          <xsd:enumeration value="CLO/FSM"/>
          <xsd:enumeration value="CLO/KIR"/>
          <xsd:enumeration value="CLO/KOR"/>
          <xsd:enumeration value="CLO/TON"/>
          <xsd:enumeration value="CLO/VAN"/>
          <xsd:enumeration value="WHO/PTT"/>
          <xsd:enumeration value="WR/CAM"/>
          <xsd:enumeration value="WR/CHN"/>
          <xsd:enumeration value="WR/LAO"/>
          <xsd:enumeration value="WR/MAA"/>
          <xsd:enumeration value="WR/MOG"/>
          <xsd:enumeration value="WR/PHL"/>
          <xsd:enumeration value="WR/PNG"/>
          <xsd:enumeration value="WR/SIN"/>
          <xsd:enumeration value="WR/SMA"/>
          <xsd:enumeration value="WR/SOL"/>
          <xsd:enumeration value="WR/SP"/>
          <xsd:enumeration value="WR/VTN"/>
        </xsd:restriction>
      </xsd:simpleType>
    </xsd:element>
    <xsd:element name="Division" ma:index="11" nillable="true" ma:displayName="Division" ma:default="DPM" ma:description="" ma:format="Dropdown" ma:internalName="Division">
      <xsd:simpleType>
        <xsd:restriction base="dms:Choice">
          <xsd:enumeration value="RD"/>
          <xsd:enumeration value="DPM"/>
          <xsd:enumeration value="DAF"/>
          <xsd:enumeration value="DCC"/>
          <xsd:enumeration value="DHP"/>
          <xsd:enumeration value="DHS"/>
          <xsd:enumeration value="DSE"/>
        </xsd:restriction>
      </xsd:simpleType>
    </xsd:element>
    <xsd:element name="Unit" ma:index="12" nillable="true" ma:displayName="Unit" ma:description="" ma:format="Dropdown" ma:internalName="Unit">
      <xsd:simpleType>
        <xsd:restriction base="dms:Choice">
          <xsd:enumeration value="AMS"/>
          <xsd:enumeration value="ASO"/>
          <xsd:enumeration value="ASU"/>
          <xsd:enumeration value="BFO"/>
          <xsd:enumeration value="BFU"/>
          <xsd:enumeration value="BUD"/>
          <xsd:enumeration value="CGF"/>
          <xsd:enumeration value="CSU"/>
          <xsd:enumeration value="DAF"/>
          <xsd:enumeration value="DCC"/>
          <xsd:enumeration value="DHP"/>
          <xsd:enumeration value="DHS"/>
          <xsd:enumeration value="DPM"/>
          <xsd:enumeration value="DRU"/>
          <xsd:enumeration value="DSE"/>
          <xsd:enumeration value="EDT"/>
          <xsd:enumeration value="EHA"/>
          <xsd:enumeration value="EMT"/>
          <xsd:enumeration value="ENH"/>
          <xsd:enumeration value="EPI"/>
          <xsd:enumeration value="ERC"/>
          <xsd:enumeration value="ESR"/>
          <xsd:enumeration value="FEL"/>
          <xsd:enumeration value="FIN"/>
          <xsd:enumeration value="FOS"/>
          <xsd:enumeration value="HCF"/>
          <xsd:enumeration value="HES"/>
          <xsd:enumeration value="HRH"/>
          <xsd:enumeration value="HSD"/>
          <xsd:enumeration value="HSI"/>
          <xsd:enumeration value="IER"/>
          <xsd:enumeration value="ITG"/>
          <xsd:enumeration value="ITO"/>
          <xsd:enumeration value="LIB"/>
          <xsd:enumeration value="MAC"/>
          <xsd:enumeration value="MCN"/>
          <xsd:enumeration value="MHI"/>
          <xsd:enumeration value="MSS"/>
          <xsd:enumeration value="MVP"/>
          <xsd:enumeration value="NET"/>
          <xsd:enumeration value="NHP"/>
          <xsd:enumeration value="OBS"/>
          <xsd:enumeration value="PDO"/>
          <xsd:enumeration value="PER"/>
          <xsd:enumeration value="PIO"/>
          <xsd:enumeration value="PMC"/>
          <xsd:enumeration value="PTT"/>
          <xsd:enumeration value="PUB"/>
          <xsd:enumeration value="RD"/>
          <xsd:enumeration value="REG"/>
          <xsd:enumeration value="SAO"/>
          <xsd:enumeration value="SDG"/>
          <xsd:enumeration value="STB"/>
          <xsd:enumeration value="SUP"/>
          <xsd:enumeration value="TAT"/>
          <xsd:enumeration value="TFI"/>
          <xsd:enumeration value="TPL"/>
          <xsd:enumeration value="TRA"/>
          <xsd:enumeration value="USG"/>
          <xsd:enumeration value="WSA"/>
        </xsd:restriction>
      </xsd:simpleType>
    </xsd:element>
    <xsd:element name="_dlc_DocId" ma:index="15" nillable="true" ma:displayName="Document ID Value" ma:description="The value of the document ID assigned to this item." ma:internalName="_dlc_DocId" ma:readOnly="true">
      <xsd:simpleType>
        <xsd:restriction base="dms:Text"/>
      </xsd:simpleType>
    </xsd:element>
    <xsd:element name="_dlc_DocIdUrl" ma:index="1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6e0118-e72c-463a-9f43-e96eb7794195" elementFormDefault="qualified">
    <xsd:import namespace="http://schemas.microsoft.com/office/2006/documentManagement/types"/>
    <xsd:import namespace="http://schemas.microsoft.com/office/infopath/2007/PartnerControls"/>
    <xsd:element name="MeetingDate" ma:index="22" nillable="true" ma:displayName="Date" ma:default="[today]" ma:format="DateOnly" ma:internalName="Meeting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 ma:displayName="Author"/>
        <xsd:element ref="dcterms:created" minOccurs="0" maxOccurs="1"/>
        <xsd:element ref="dc:identifier" minOccurs="0" maxOccurs="1"/>
        <xsd:element name="contentType" minOccurs="0" maxOccurs="1" type="xsd:string" ma:index="17" ma:displayName="Content Type"/>
        <xsd:element ref="dc:title" maxOccurs="1" ma:index="1"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91F07-D1A5-452B-82E8-D4DC22A91CE2}">
  <ds:schemaRefs>
    <ds:schemaRef ds:uri="51d97ad5-e5f0-4885-8285-9f067866f88e"/>
    <ds:schemaRef ds:uri="http://schemas.microsoft.com/office/2006/documentManagement/types"/>
    <ds:schemaRef ds:uri="http://purl.org/dc/dcmitype/"/>
    <ds:schemaRef ds:uri="http://www.w3.org/XML/1998/namespace"/>
    <ds:schemaRef ds:uri="http://schemas.microsoft.com/office/2006/metadata/properties"/>
    <ds:schemaRef ds:uri="http://schemas.openxmlformats.org/package/2006/metadata/core-properties"/>
    <ds:schemaRef ds:uri="http://purl.org/dc/terms/"/>
    <ds:schemaRef ds:uri="http://purl.org/dc/elements/1.1/"/>
    <ds:schemaRef ds:uri="http://schemas.microsoft.com/office/infopath/2007/PartnerControls"/>
    <ds:schemaRef ds:uri="f66e0118-e72c-463a-9f43-e96eb7794195"/>
  </ds:schemaRefs>
</ds:datastoreItem>
</file>

<file path=customXml/itemProps2.xml><?xml version="1.0" encoding="utf-8"?>
<ds:datastoreItem xmlns:ds="http://schemas.openxmlformats.org/officeDocument/2006/customXml" ds:itemID="{BE894769-D1D5-4750-AB7E-BB22D3363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97ad5-e5f0-4885-8285-9f067866f88e"/>
    <ds:schemaRef ds:uri="f66e0118-e72c-463a-9f43-e96eb77941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676F32-E172-4817-B9EF-3B4900A7D8FC}">
  <ds:schemaRefs>
    <ds:schemaRef ds:uri="http://schemas.microsoft.com/sharepoint/v3/contenttype/forms"/>
  </ds:schemaRefs>
</ds:datastoreItem>
</file>

<file path=customXml/itemProps4.xml><?xml version="1.0" encoding="utf-8"?>
<ds:datastoreItem xmlns:ds="http://schemas.openxmlformats.org/officeDocument/2006/customXml" ds:itemID="{23657984-47E9-4E05-ABA6-E0DEBDA391FB}">
  <ds:schemaRefs>
    <ds:schemaRef ds:uri="http://schemas.microsoft.com/sharepoint/events"/>
  </ds:schemaRefs>
</ds:datastoreItem>
</file>

<file path=customXml/itemProps5.xml><?xml version="1.0" encoding="utf-8"?>
<ds:datastoreItem xmlns:ds="http://schemas.openxmlformats.org/officeDocument/2006/customXml" ds:itemID="{2B9D2530-8C0A-408C-8C7D-568290AD1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6</Pages>
  <Words>2253</Words>
  <Characters>12844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DPS Summary Report Template</vt:lpstr>
    </vt:vector>
  </TitlesOfParts>
  <Company>Organisation mondiale de la Santé</Company>
  <LinksUpToDate>false</LinksUpToDate>
  <CharactersWithSpaces>15067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DPS Summary Report Template</dc:title>
  <dc:creator>RIVADA, Don (WPRO)</dc:creator>
  <cp:lastModifiedBy>SealW</cp:lastModifiedBy>
  <cp:revision>22</cp:revision>
  <cp:lastPrinted>2019-07-08T07:45:00Z</cp:lastPrinted>
  <dcterms:created xsi:type="dcterms:W3CDTF">2018-10-08T03:26:00Z</dcterms:created>
  <dcterms:modified xsi:type="dcterms:W3CDTF">2019-07-27T04:14:00Z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2014-09-12T00:00:00Z</vt:filetime>
  </property>
  <property fmtid="{D5CDD505-2E9C-101B-9397-08002B2CF9AE}" pid="3" name="LastSaved">
    <vt:filetime>2014-09-12T00:00:00Z</vt:filetime>
  </property>
  <property fmtid="{D5CDD505-2E9C-101B-9397-08002B2CF9AE}" pid="4" name="_dlc_DocIdItemGuid">
    <vt:lpwstr>8df9d28e-c2a1-4a2a-a8f4-05595410d5d5</vt:lpwstr>
  </property>
  <property fmtid="{D5CDD505-2E9C-101B-9397-08002B2CF9AE}" pid="5" name="ContentTypeId">
    <vt:lpwstr>0x010100D34CEE1D9812034F9F1BB0AC1F1DE4390013594E4EBFF1434CBCC0BD3551C29E46</vt:lpwstr>
  </property>
</Properties>
</file>